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8B1D7" w14:textId="7B3B11FD" w:rsidR="00983003" w:rsidRDefault="00983003" w:rsidP="00983003">
      <w:pPr>
        <w:spacing w:after="0" w:line="240" w:lineRule="auto"/>
        <w:jc w:val="center"/>
        <w:rPr>
          <w:b/>
          <w:bCs/>
          <w:sz w:val="28"/>
          <w:szCs w:val="28"/>
          <w:lang w:val="pt-BR"/>
        </w:rPr>
      </w:pPr>
      <w:r>
        <w:rPr>
          <w:b/>
          <w:bCs/>
          <w:sz w:val="28"/>
          <w:szCs w:val="28"/>
          <w:lang w:val="pt-BR"/>
        </w:rPr>
        <w:t xml:space="preserve">BÁO CÁO </w:t>
      </w:r>
      <w:r w:rsidR="00150322" w:rsidRPr="00150322">
        <w:rPr>
          <w:b/>
          <w:bCs/>
          <w:sz w:val="28"/>
          <w:szCs w:val="28"/>
          <w:lang w:val="pt-BR"/>
        </w:rPr>
        <w:t>TÓM TẮT</w:t>
      </w:r>
    </w:p>
    <w:p w14:paraId="1FAADCF1" w14:textId="0780CBB9" w:rsidR="00983003" w:rsidRDefault="0054644F" w:rsidP="00983003">
      <w:pPr>
        <w:spacing w:after="0" w:line="240" w:lineRule="auto"/>
        <w:jc w:val="center"/>
        <w:rPr>
          <w:b/>
          <w:bCs/>
          <w:sz w:val="28"/>
          <w:szCs w:val="28"/>
          <w:lang w:val="pt-BR"/>
        </w:rPr>
      </w:pPr>
      <w:r>
        <w:rPr>
          <w:b/>
          <w:bCs/>
          <w:sz w:val="28"/>
          <w:szCs w:val="28"/>
          <w:lang w:val="pt-BR"/>
        </w:rPr>
        <w:t xml:space="preserve">Đề án </w:t>
      </w:r>
      <w:r w:rsidR="00983003">
        <w:rPr>
          <w:b/>
          <w:bCs/>
          <w:sz w:val="28"/>
          <w:szCs w:val="28"/>
          <w:lang w:val="pt-BR"/>
        </w:rPr>
        <w:t xml:space="preserve">hợp nhất </w:t>
      </w:r>
      <w:r w:rsidR="00BC1474">
        <w:rPr>
          <w:b/>
          <w:bCs/>
          <w:sz w:val="28"/>
          <w:szCs w:val="28"/>
          <w:lang w:val="pt-BR"/>
        </w:rPr>
        <w:t xml:space="preserve">ĐVHC </w:t>
      </w:r>
      <w:r w:rsidR="00983003">
        <w:rPr>
          <w:b/>
          <w:bCs/>
          <w:sz w:val="28"/>
          <w:szCs w:val="28"/>
          <w:lang w:val="pt-BR"/>
        </w:rPr>
        <w:t>tỉnh Tuyên Quang và tỉnh Hà Giang</w:t>
      </w:r>
    </w:p>
    <w:p w14:paraId="3297BB89" w14:textId="1BA086B8" w:rsidR="00983003" w:rsidRDefault="006C1364" w:rsidP="006C1364">
      <w:pPr>
        <w:spacing w:after="120" w:line="240" w:lineRule="auto"/>
        <w:jc w:val="center"/>
        <w:rPr>
          <w:b/>
          <w:bCs/>
          <w:sz w:val="28"/>
          <w:szCs w:val="28"/>
          <w:lang w:val="pt-BR"/>
        </w:rPr>
      </w:pPr>
      <w:r>
        <w:rPr>
          <w:b/>
          <w:bCs/>
          <w:sz w:val="28"/>
          <w:szCs w:val="28"/>
          <w:lang w:val="pt-BR"/>
        </w:rPr>
        <w:t>-----------------------</w:t>
      </w:r>
    </w:p>
    <w:p w14:paraId="1EF54363" w14:textId="77777777" w:rsidR="00DF6AA8" w:rsidRDefault="00DF6AA8" w:rsidP="00DF6AA8">
      <w:pPr>
        <w:spacing w:before="120" w:after="0" w:line="240" w:lineRule="auto"/>
        <w:ind w:firstLine="567"/>
        <w:jc w:val="both"/>
        <w:rPr>
          <w:sz w:val="28"/>
          <w:szCs w:val="28"/>
        </w:rPr>
      </w:pPr>
    </w:p>
    <w:p w14:paraId="74D2692A" w14:textId="4D4B2E1A" w:rsidR="00DF6AA8" w:rsidRPr="00DF6AA8" w:rsidRDefault="00B46584" w:rsidP="00DF6AA8">
      <w:pPr>
        <w:spacing w:before="120" w:after="0" w:line="240" w:lineRule="auto"/>
        <w:ind w:firstLine="567"/>
        <w:jc w:val="both"/>
        <w:rPr>
          <w:b/>
          <w:i/>
          <w:sz w:val="28"/>
          <w:szCs w:val="28"/>
          <w:lang w:val="vi-VN"/>
        </w:rPr>
      </w:pPr>
      <w:r>
        <w:rPr>
          <w:sz w:val="28"/>
          <w:szCs w:val="28"/>
        </w:rPr>
        <w:t>Th</w:t>
      </w:r>
      <w:r w:rsidRPr="00B46584">
        <w:rPr>
          <w:sz w:val="28"/>
          <w:szCs w:val="28"/>
        </w:rPr>
        <w:t>ực</w:t>
      </w:r>
      <w:r>
        <w:rPr>
          <w:sz w:val="28"/>
          <w:szCs w:val="28"/>
        </w:rPr>
        <w:t xml:space="preserve"> hi</w:t>
      </w:r>
      <w:r w:rsidRPr="00B46584">
        <w:rPr>
          <w:sz w:val="28"/>
          <w:szCs w:val="28"/>
        </w:rPr>
        <w:t>ện</w:t>
      </w:r>
      <w:r>
        <w:rPr>
          <w:sz w:val="28"/>
          <w:szCs w:val="28"/>
        </w:rPr>
        <w:t xml:space="preserve"> </w:t>
      </w:r>
      <w:r w:rsidRPr="008C37FF">
        <w:rPr>
          <w:sz w:val="28"/>
          <w:szCs w:val="28"/>
        </w:rPr>
        <w:t>Nghị quyết số 60-NQ/TW ngày 12/4/2025 của Hội nghị lần thứ 11, Ban Chấp hành Trung ương Đảng khóa XIII</w:t>
      </w:r>
      <w:r>
        <w:rPr>
          <w:sz w:val="28"/>
          <w:szCs w:val="28"/>
        </w:rPr>
        <w:t xml:space="preserve">, </w:t>
      </w:r>
      <w:r w:rsidR="00DF6AA8" w:rsidRPr="008C37FF">
        <w:rPr>
          <w:sz w:val="28"/>
          <w:szCs w:val="28"/>
        </w:rPr>
        <w:t>Kết luận số 127-KL/TW ngày 28/02/2025 của Bộ Chính trị, Ban Bí thư về triển khai nghiên cứu, đề xuất tiếp tục sắp xếp tổ chức bộ máy của hệ thống chính trị; Nghị quyết số 76/2025/UBTVQH15 ngày 14/4/2025 của Ủy ban Thường vụ Quốc hội về sắp xếp đơn vị hành chính năm 2025; Nghị quyết số 74/NQ-CP ngày 07/4/2025 của Chính phủ ban hành Kế hoạch thực hiện sắp xếp đơn vị hành chính và xây dựng mô hình tổ chức chính quyền địa phương 02 cấp</w:t>
      </w:r>
      <w:r w:rsidR="00DF6AA8" w:rsidRPr="00F13A6D">
        <w:rPr>
          <w:sz w:val="28"/>
          <w:szCs w:val="28"/>
        </w:rPr>
        <w:t>,</w:t>
      </w:r>
      <w:r>
        <w:rPr>
          <w:sz w:val="28"/>
          <w:szCs w:val="28"/>
        </w:rPr>
        <w:t xml:space="preserve"> </w:t>
      </w:r>
      <w:r w:rsidR="00DF6AA8" w:rsidRPr="00F13A6D">
        <w:rPr>
          <w:sz w:val="28"/>
          <w:szCs w:val="28"/>
        </w:rPr>
        <w:t>Ủy ban nhân dân tỉ</w:t>
      </w:r>
      <w:r w:rsidR="00DF6AA8">
        <w:rPr>
          <w:sz w:val="28"/>
          <w:szCs w:val="28"/>
        </w:rPr>
        <w:t>nh Tuyên Quang</w:t>
      </w:r>
      <w:r>
        <w:rPr>
          <w:sz w:val="28"/>
          <w:szCs w:val="28"/>
        </w:rPr>
        <w:t xml:space="preserve"> ph</w:t>
      </w:r>
      <w:r w:rsidRPr="00B46584">
        <w:rPr>
          <w:sz w:val="28"/>
          <w:szCs w:val="28"/>
        </w:rPr>
        <w:t>ố</w:t>
      </w:r>
      <w:r>
        <w:rPr>
          <w:sz w:val="28"/>
          <w:szCs w:val="28"/>
        </w:rPr>
        <w:t>i h</w:t>
      </w:r>
      <w:r w:rsidRPr="00B46584">
        <w:rPr>
          <w:sz w:val="28"/>
          <w:szCs w:val="28"/>
        </w:rPr>
        <w:t>ợp</w:t>
      </w:r>
      <w:r>
        <w:rPr>
          <w:sz w:val="28"/>
          <w:szCs w:val="28"/>
        </w:rPr>
        <w:t xml:space="preserve"> v</w:t>
      </w:r>
      <w:r w:rsidRPr="00B46584">
        <w:rPr>
          <w:sz w:val="28"/>
          <w:szCs w:val="28"/>
        </w:rPr>
        <w:t>ới</w:t>
      </w:r>
      <w:r>
        <w:rPr>
          <w:sz w:val="28"/>
          <w:szCs w:val="28"/>
        </w:rPr>
        <w:t xml:space="preserve"> </w:t>
      </w:r>
      <w:r w:rsidRPr="00B46584">
        <w:rPr>
          <w:sz w:val="28"/>
          <w:szCs w:val="28"/>
        </w:rPr>
        <w:t>Ủy</w:t>
      </w:r>
      <w:r>
        <w:rPr>
          <w:sz w:val="28"/>
          <w:szCs w:val="28"/>
        </w:rPr>
        <w:t xml:space="preserve"> ban nh</w:t>
      </w:r>
      <w:r w:rsidRPr="00B46584">
        <w:rPr>
          <w:sz w:val="28"/>
          <w:szCs w:val="28"/>
        </w:rPr>
        <w:t>â</w:t>
      </w:r>
      <w:r>
        <w:rPr>
          <w:sz w:val="28"/>
          <w:szCs w:val="28"/>
        </w:rPr>
        <w:t>n d</w:t>
      </w:r>
      <w:r w:rsidRPr="00B46584">
        <w:rPr>
          <w:sz w:val="28"/>
          <w:szCs w:val="28"/>
        </w:rPr>
        <w:t>â</w:t>
      </w:r>
      <w:r>
        <w:rPr>
          <w:sz w:val="28"/>
          <w:szCs w:val="28"/>
        </w:rPr>
        <w:t>n t</w:t>
      </w:r>
      <w:r w:rsidRPr="00B46584">
        <w:rPr>
          <w:sz w:val="28"/>
          <w:szCs w:val="28"/>
        </w:rPr>
        <w:t>ỉn</w:t>
      </w:r>
      <w:r>
        <w:rPr>
          <w:sz w:val="28"/>
          <w:szCs w:val="28"/>
        </w:rPr>
        <w:t>h H</w:t>
      </w:r>
      <w:r w:rsidRPr="00B46584">
        <w:rPr>
          <w:sz w:val="28"/>
          <w:szCs w:val="28"/>
        </w:rPr>
        <w:t>à</w:t>
      </w:r>
      <w:r>
        <w:rPr>
          <w:sz w:val="28"/>
          <w:szCs w:val="28"/>
        </w:rPr>
        <w:t xml:space="preserve"> Giang</w:t>
      </w:r>
      <w:r w:rsidR="00DF6AA8">
        <w:rPr>
          <w:sz w:val="28"/>
          <w:szCs w:val="28"/>
        </w:rPr>
        <w:t xml:space="preserve"> xây dựng </w:t>
      </w:r>
      <w:r w:rsidR="00DF6AA8" w:rsidRPr="00DF6AA8">
        <w:rPr>
          <w:sz w:val="28"/>
          <w:szCs w:val="28"/>
          <w:lang w:val="vi-VN"/>
        </w:rPr>
        <w:t xml:space="preserve">Đề án hợp nhất </w:t>
      </w:r>
      <w:r w:rsidR="00DF6AA8">
        <w:rPr>
          <w:sz w:val="28"/>
          <w:szCs w:val="28"/>
          <w:lang w:val="vi-VN"/>
        </w:rPr>
        <w:t>đơn vị hành chính</w:t>
      </w:r>
      <w:r w:rsidR="00DF6AA8" w:rsidRPr="00DF6AA8">
        <w:rPr>
          <w:sz w:val="28"/>
          <w:szCs w:val="28"/>
          <w:lang w:val="vi-VN"/>
        </w:rPr>
        <w:t xml:space="preserve"> tỉnh Tuyên Quang và tỉnh Hà Giang</w:t>
      </w:r>
      <w:r w:rsidR="00DF6AA8">
        <w:rPr>
          <w:sz w:val="28"/>
          <w:szCs w:val="28"/>
          <w:lang w:val="vi-VN"/>
        </w:rPr>
        <w:t xml:space="preserve"> gồm các nội dung sau</w:t>
      </w:r>
      <w:r w:rsidR="00DF6AA8" w:rsidRPr="00F13A6D">
        <w:rPr>
          <w:sz w:val="28"/>
          <w:szCs w:val="28"/>
        </w:rPr>
        <w:t>:</w:t>
      </w:r>
    </w:p>
    <w:p w14:paraId="61964AED" w14:textId="690D8530" w:rsidR="00CC4849" w:rsidRPr="00CC4849" w:rsidRDefault="00CC4849" w:rsidP="00CC4849">
      <w:pPr>
        <w:spacing w:before="120" w:after="0" w:line="240" w:lineRule="auto"/>
        <w:ind w:firstLine="567"/>
        <w:jc w:val="both"/>
        <w:rPr>
          <w:bCs/>
          <w:sz w:val="28"/>
          <w:szCs w:val="28"/>
          <w:lang w:val="nl-NL"/>
        </w:rPr>
      </w:pPr>
      <w:r w:rsidRPr="00CC4849">
        <w:rPr>
          <w:b/>
          <w:bCs/>
          <w:sz w:val="28"/>
          <w:szCs w:val="28"/>
          <w:lang w:val="nl-NL"/>
        </w:rPr>
        <w:t xml:space="preserve">1. </w:t>
      </w:r>
      <w:r w:rsidR="00DF6AA8">
        <w:rPr>
          <w:b/>
          <w:bCs/>
          <w:sz w:val="28"/>
          <w:szCs w:val="28"/>
          <w:lang w:val="vi-VN"/>
        </w:rPr>
        <w:t>T</w:t>
      </w:r>
      <w:r w:rsidRPr="00CC4849">
        <w:rPr>
          <w:b/>
          <w:bCs/>
          <w:sz w:val="28"/>
          <w:szCs w:val="28"/>
          <w:lang w:val="nl-NL"/>
        </w:rPr>
        <w:t>hành lập tỉnh Tuyên Quang</w:t>
      </w:r>
      <w:r w:rsidRPr="00CC4849">
        <w:rPr>
          <w:bCs/>
          <w:sz w:val="28"/>
          <w:szCs w:val="28"/>
          <w:lang w:val="nl-NL"/>
        </w:rPr>
        <w:t xml:space="preserve"> trên cơ sở nhập nguyên trạng toàn bộ diện tích tự nhiên, dân số của tỉnh Tuyên Quang </w:t>
      </w:r>
      <w:r w:rsidRPr="00CC4849">
        <w:rPr>
          <w:bCs/>
          <w:i/>
          <w:sz w:val="28"/>
          <w:szCs w:val="28"/>
          <w:lang w:val="nl-NL"/>
        </w:rPr>
        <w:t>(diện tích tự nhiên là 5.867,95 km</w:t>
      </w:r>
      <w:r w:rsidRPr="00CC4849">
        <w:rPr>
          <w:bCs/>
          <w:i/>
          <w:sz w:val="28"/>
          <w:szCs w:val="28"/>
          <w:vertAlign w:val="superscript"/>
          <w:lang w:val="nl-NL"/>
        </w:rPr>
        <w:t>2</w:t>
      </w:r>
      <w:r w:rsidRPr="00CC4849">
        <w:rPr>
          <w:bCs/>
          <w:i/>
          <w:sz w:val="28"/>
          <w:szCs w:val="28"/>
          <w:lang w:val="nl-NL"/>
        </w:rPr>
        <w:t>; dân số là 921.187 người</w:t>
      </w:r>
      <w:r w:rsidRPr="00CC4849">
        <w:rPr>
          <w:bCs/>
          <w:sz w:val="28"/>
          <w:szCs w:val="28"/>
          <w:lang w:val="nl-NL"/>
        </w:rPr>
        <w:t xml:space="preserve">) và nguyên trạng toàn bộ diện tích tự nhiên, dân số của tỉnh Hà Giang </w:t>
      </w:r>
      <w:r w:rsidRPr="00CC4849">
        <w:rPr>
          <w:bCs/>
          <w:i/>
          <w:sz w:val="28"/>
          <w:szCs w:val="28"/>
          <w:lang w:val="nl-NL"/>
        </w:rPr>
        <w:t>(diện tích tự nhiên là 7.927,56 km</w:t>
      </w:r>
      <w:r w:rsidRPr="00CC4849">
        <w:rPr>
          <w:bCs/>
          <w:i/>
          <w:sz w:val="28"/>
          <w:szCs w:val="28"/>
          <w:vertAlign w:val="superscript"/>
          <w:lang w:val="nl-NL"/>
        </w:rPr>
        <w:t>2</w:t>
      </w:r>
      <w:r w:rsidRPr="00CC4849">
        <w:rPr>
          <w:bCs/>
          <w:i/>
          <w:sz w:val="28"/>
          <w:szCs w:val="28"/>
          <w:lang w:val="nl-NL"/>
        </w:rPr>
        <w:t>; dân số là 944.083 người)</w:t>
      </w:r>
      <w:r w:rsidRPr="00CC4849">
        <w:rPr>
          <w:bCs/>
          <w:sz w:val="28"/>
          <w:szCs w:val="28"/>
          <w:lang w:val="nl-NL"/>
        </w:rPr>
        <w:t xml:space="preserve">. </w:t>
      </w:r>
    </w:p>
    <w:p w14:paraId="5DC54AE0" w14:textId="77777777" w:rsidR="00CC4849" w:rsidRPr="00CC4849" w:rsidRDefault="00CC4849" w:rsidP="00CC4849">
      <w:pPr>
        <w:spacing w:before="120" w:after="0" w:line="240" w:lineRule="auto"/>
        <w:ind w:firstLine="567"/>
        <w:jc w:val="both"/>
        <w:rPr>
          <w:b/>
          <w:bCs/>
          <w:sz w:val="28"/>
          <w:szCs w:val="28"/>
          <w:lang w:val="nl-NL"/>
        </w:rPr>
      </w:pPr>
      <w:r w:rsidRPr="00CC4849">
        <w:rPr>
          <w:b/>
          <w:bCs/>
          <w:sz w:val="28"/>
          <w:szCs w:val="28"/>
          <w:lang w:val="nl-NL"/>
        </w:rPr>
        <w:t>2. Kết quả sau hợp nhất</w:t>
      </w:r>
    </w:p>
    <w:p w14:paraId="3E05B2DF" w14:textId="68CEF3F3" w:rsidR="00597A9F" w:rsidRDefault="00597A9F" w:rsidP="00597A9F">
      <w:pPr>
        <w:spacing w:before="120" w:after="0" w:line="240" w:lineRule="auto"/>
        <w:ind w:firstLine="567"/>
        <w:jc w:val="both"/>
        <w:rPr>
          <w:bCs/>
          <w:sz w:val="28"/>
          <w:szCs w:val="28"/>
          <w:lang w:val="nl-NL"/>
        </w:rPr>
      </w:pPr>
      <w:r w:rsidRPr="00597A9F">
        <w:rPr>
          <w:b/>
          <w:bCs/>
          <w:sz w:val="28"/>
          <w:szCs w:val="28"/>
          <w:lang w:val="nl-NL"/>
        </w:rPr>
        <w:t>Tỉnh Tuyên Quang</w:t>
      </w:r>
      <w:r w:rsidRPr="00CC4849">
        <w:rPr>
          <w:bCs/>
          <w:sz w:val="28"/>
          <w:szCs w:val="28"/>
          <w:lang w:val="nl-NL"/>
        </w:rPr>
        <w:t xml:space="preserve"> được hình thành sau sắp xếp</w:t>
      </w:r>
      <w:r>
        <w:rPr>
          <w:bCs/>
          <w:sz w:val="28"/>
          <w:szCs w:val="28"/>
          <w:lang w:val="nl-NL"/>
        </w:rPr>
        <w:t xml:space="preserve"> có diện tích tự nhiên là </w:t>
      </w:r>
      <w:r w:rsidRPr="00CC4849">
        <w:rPr>
          <w:bCs/>
          <w:sz w:val="28"/>
          <w:szCs w:val="28"/>
          <w:lang w:val="nl-NL"/>
        </w:rPr>
        <w:t>13.795,51 km</w:t>
      </w:r>
      <w:r w:rsidRPr="00597A9F">
        <w:rPr>
          <w:bCs/>
          <w:sz w:val="28"/>
          <w:szCs w:val="28"/>
          <w:vertAlign w:val="superscript"/>
          <w:lang w:val="nl-NL"/>
        </w:rPr>
        <w:t>2</w:t>
      </w:r>
      <w:r w:rsidRPr="00CC4849">
        <w:rPr>
          <w:bCs/>
          <w:sz w:val="28"/>
          <w:szCs w:val="28"/>
          <w:lang w:val="nl-NL"/>
        </w:rPr>
        <w:t xml:space="preserve"> </w:t>
      </w:r>
      <w:r w:rsidRPr="00597A9F">
        <w:rPr>
          <w:bCs/>
          <w:i/>
          <w:sz w:val="28"/>
          <w:szCs w:val="28"/>
          <w:lang w:val="nl-NL"/>
        </w:rPr>
        <w:t>(đạt 172% so với tiêu chuẩn)</w:t>
      </w:r>
      <w:r>
        <w:rPr>
          <w:bCs/>
          <w:sz w:val="28"/>
          <w:szCs w:val="28"/>
          <w:lang w:val="nl-NL"/>
        </w:rPr>
        <w:t xml:space="preserve">; dân số là </w:t>
      </w:r>
      <w:r w:rsidRPr="00CC4849">
        <w:rPr>
          <w:bCs/>
          <w:sz w:val="28"/>
          <w:szCs w:val="28"/>
          <w:lang w:val="nl-NL"/>
        </w:rPr>
        <w:t xml:space="preserve">1.865.270 người </w:t>
      </w:r>
      <w:r w:rsidRPr="00597A9F">
        <w:rPr>
          <w:bCs/>
          <w:i/>
          <w:sz w:val="28"/>
          <w:szCs w:val="28"/>
          <w:lang w:val="nl-NL"/>
        </w:rPr>
        <w:t>(đạt 207% so với tiêu chuẩn)</w:t>
      </w:r>
      <w:r w:rsidRPr="00CC4849">
        <w:rPr>
          <w:bCs/>
          <w:sz w:val="28"/>
          <w:szCs w:val="28"/>
          <w:lang w:val="nl-NL"/>
        </w:rPr>
        <w:t>.</w:t>
      </w:r>
    </w:p>
    <w:p w14:paraId="5E205459" w14:textId="5A244F5E" w:rsidR="00CC4849" w:rsidRPr="00CC4849" w:rsidRDefault="00CC4849" w:rsidP="00597A9F">
      <w:pPr>
        <w:spacing w:before="120" w:after="0" w:line="240" w:lineRule="auto"/>
        <w:ind w:firstLine="567"/>
        <w:jc w:val="both"/>
        <w:rPr>
          <w:bCs/>
          <w:sz w:val="28"/>
          <w:szCs w:val="28"/>
          <w:lang w:val="nl-NL"/>
        </w:rPr>
      </w:pPr>
      <w:r w:rsidRPr="00CC4849">
        <w:rPr>
          <w:bCs/>
          <w:sz w:val="28"/>
          <w:szCs w:val="28"/>
          <w:lang w:val="nl-NL"/>
        </w:rPr>
        <w:t>- Trung tâm chính trị - hành chính đặt tại</w:t>
      </w:r>
      <w:r>
        <w:rPr>
          <w:bCs/>
          <w:sz w:val="28"/>
          <w:szCs w:val="28"/>
          <w:lang w:val="nl-NL"/>
        </w:rPr>
        <w:t xml:space="preserve"> Thành phố Tuyên Quang,</w:t>
      </w:r>
      <w:r w:rsidRPr="00CC4849">
        <w:rPr>
          <w:bCs/>
          <w:sz w:val="28"/>
          <w:szCs w:val="28"/>
          <w:lang w:val="nl-NL"/>
        </w:rPr>
        <w:t xml:space="preserve"> tỉnh Tuyên Quang hiện nay.</w:t>
      </w:r>
    </w:p>
    <w:p w14:paraId="25A4F86D" w14:textId="43AA9A1A" w:rsidR="00CC4849" w:rsidRPr="007322EE" w:rsidRDefault="007322EE" w:rsidP="00CC4849">
      <w:pPr>
        <w:spacing w:before="120" w:after="0" w:line="240" w:lineRule="auto"/>
        <w:ind w:firstLine="567"/>
        <w:jc w:val="both"/>
        <w:rPr>
          <w:b/>
          <w:bCs/>
          <w:sz w:val="28"/>
          <w:szCs w:val="28"/>
          <w:lang w:val="nl-NL"/>
        </w:rPr>
      </w:pPr>
      <w:r w:rsidRPr="007322EE">
        <w:rPr>
          <w:rFonts w:ascii="Times New Roman Bold" w:hAnsi="Times New Roman Bold"/>
          <w:b/>
          <w:bCs/>
          <w:spacing w:val="4"/>
          <w:sz w:val="28"/>
          <w:szCs w:val="28"/>
          <w:lang w:val="nl-NL"/>
        </w:rPr>
        <w:t>3</w:t>
      </w:r>
      <w:r w:rsidR="00CC4849" w:rsidRPr="007322EE">
        <w:rPr>
          <w:rFonts w:ascii="Times New Roman Bold" w:hAnsi="Times New Roman Bold"/>
          <w:b/>
          <w:bCs/>
          <w:spacing w:val="4"/>
          <w:sz w:val="28"/>
          <w:szCs w:val="28"/>
          <w:lang w:val="nl-NL"/>
        </w:rPr>
        <w:t>. Cơ sở và lý do đề xuất phương án, lựa chọn tên gọi và trung tâm hành chính</w:t>
      </w:r>
      <w:r w:rsidR="00CC4849" w:rsidRPr="007322EE">
        <w:rPr>
          <w:b/>
          <w:bCs/>
          <w:sz w:val="28"/>
          <w:szCs w:val="28"/>
          <w:lang w:val="nl-NL"/>
        </w:rPr>
        <w:t xml:space="preserve"> - chính trị tỉnh Tuyên Quang sau hợp nhất</w:t>
      </w:r>
    </w:p>
    <w:p w14:paraId="44DB2D70" w14:textId="77777777" w:rsidR="00CC4849" w:rsidRPr="003C686B" w:rsidRDefault="00CC4849" w:rsidP="00CC4849">
      <w:pPr>
        <w:spacing w:before="120" w:after="0" w:line="240" w:lineRule="auto"/>
        <w:ind w:firstLine="567"/>
        <w:jc w:val="both"/>
        <w:rPr>
          <w:b/>
          <w:bCs/>
          <w:sz w:val="28"/>
          <w:szCs w:val="28"/>
          <w:lang w:val="nl-NL"/>
        </w:rPr>
      </w:pPr>
      <w:r w:rsidRPr="003C686B">
        <w:rPr>
          <w:b/>
          <w:bCs/>
          <w:sz w:val="28"/>
          <w:szCs w:val="28"/>
          <w:lang w:val="nl-NL"/>
        </w:rPr>
        <w:t>3.1. Về tên gọi</w:t>
      </w:r>
    </w:p>
    <w:p w14:paraId="276AF23D" w14:textId="1B636BE8" w:rsidR="00CC4849" w:rsidRPr="00DF6AA8" w:rsidRDefault="00DF6AA8" w:rsidP="00CC4849">
      <w:pPr>
        <w:spacing w:before="120" w:after="0" w:line="240" w:lineRule="auto"/>
        <w:ind w:firstLine="567"/>
        <w:jc w:val="both"/>
        <w:rPr>
          <w:bCs/>
          <w:sz w:val="28"/>
          <w:szCs w:val="28"/>
          <w:lang w:val="nl-NL"/>
        </w:rPr>
      </w:pPr>
      <w:r w:rsidRPr="00DF6AA8">
        <w:rPr>
          <w:b/>
          <w:bCs/>
          <w:sz w:val="28"/>
          <w:szCs w:val="28"/>
          <w:lang w:val="vi-VN"/>
        </w:rPr>
        <w:t>1.</w:t>
      </w:r>
      <w:r w:rsidR="00CC4849" w:rsidRPr="00CC4849">
        <w:rPr>
          <w:bCs/>
          <w:sz w:val="28"/>
          <w:szCs w:val="28"/>
          <w:lang w:val="nl-NL"/>
        </w:rPr>
        <w:t xml:space="preserve"> </w:t>
      </w:r>
      <w:r>
        <w:rPr>
          <w:bCs/>
          <w:sz w:val="28"/>
          <w:szCs w:val="28"/>
          <w:lang w:val="vi-VN"/>
        </w:rPr>
        <w:t>Thực hiện N</w:t>
      </w:r>
      <w:r w:rsidR="00CC4849" w:rsidRPr="00CC4849">
        <w:rPr>
          <w:bCs/>
          <w:sz w:val="28"/>
          <w:szCs w:val="28"/>
          <w:lang w:val="nl-NL"/>
        </w:rPr>
        <w:t>ghị quyết số 60-NQ/TW ngày 12/4/2025 của Hội nghị lần thứ 11 Ban Chấp hành Trung ương Đảng khóa XIII</w:t>
      </w:r>
      <w:r>
        <w:rPr>
          <w:bCs/>
          <w:sz w:val="28"/>
          <w:szCs w:val="28"/>
          <w:lang w:val="vi-VN"/>
        </w:rPr>
        <w:t xml:space="preserve"> đó là</w:t>
      </w:r>
      <w:r w:rsidRPr="00DF6AA8">
        <w:rPr>
          <w:b/>
          <w:i/>
          <w:sz w:val="28"/>
          <w:szCs w:val="28"/>
          <w:lang w:val="vi-VN"/>
        </w:rPr>
        <w:t xml:space="preserve"> </w:t>
      </w:r>
      <w:r w:rsidRPr="00DF6AA8">
        <w:rPr>
          <w:sz w:val="28"/>
          <w:szCs w:val="28"/>
          <w:lang w:val="vi-VN"/>
        </w:rPr>
        <w:t>Hợp nhất tỉnh Tuyên Quang với tỉnh Hà Giang,</w:t>
      </w:r>
      <w:r w:rsidRPr="00DF6AA8">
        <w:rPr>
          <w:b/>
          <w:i/>
          <w:sz w:val="28"/>
          <w:szCs w:val="28"/>
          <w:lang w:val="vi-VN"/>
        </w:rPr>
        <w:t xml:space="preserve"> lấy tên là Tuyên Quang</w:t>
      </w:r>
      <w:r w:rsidRPr="00DF6AA8">
        <w:rPr>
          <w:sz w:val="28"/>
          <w:szCs w:val="28"/>
          <w:lang w:val="vi-VN"/>
        </w:rPr>
        <w:t>, trung tâm chính trị - hành chính đặt tai tỉnh Tuyên Quang</w:t>
      </w:r>
    </w:p>
    <w:p w14:paraId="14B93548" w14:textId="5A3CE8E7" w:rsidR="00CC4849" w:rsidRPr="00CC4849" w:rsidRDefault="00DF6AA8" w:rsidP="00DF6AA8">
      <w:pPr>
        <w:spacing w:before="120" w:after="0" w:line="240" w:lineRule="auto"/>
        <w:ind w:firstLine="567"/>
        <w:jc w:val="both"/>
        <w:rPr>
          <w:bCs/>
          <w:sz w:val="28"/>
          <w:szCs w:val="28"/>
          <w:lang w:val="nl-NL"/>
        </w:rPr>
      </w:pPr>
      <w:r w:rsidRPr="00B46584">
        <w:rPr>
          <w:b/>
          <w:bCs/>
          <w:sz w:val="28"/>
          <w:szCs w:val="28"/>
          <w:lang w:val="vi-VN"/>
        </w:rPr>
        <w:t>2.</w:t>
      </w:r>
      <w:r w:rsidRPr="00B46584">
        <w:rPr>
          <w:bCs/>
          <w:sz w:val="28"/>
          <w:szCs w:val="28"/>
          <w:lang w:val="vi-VN"/>
        </w:rPr>
        <w:t xml:space="preserve"> Về lịch sử tên gọi Tuyên Quang:</w:t>
      </w:r>
      <w:r w:rsidRPr="00B46584">
        <w:rPr>
          <w:bCs/>
          <w:sz w:val="28"/>
          <w:szCs w:val="28"/>
          <w:lang w:val="nl-NL"/>
        </w:rPr>
        <w:t xml:space="preserve"> </w:t>
      </w:r>
      <w:r w:rsidR="00CC4849" w:rsidRPr="00B46584">
        <w:rPr>
          <w:bCs/>
          <w:sz w:val="28"/>
          <w:szCs w:val="28"/>
          <w:lang w:val="nl-NL"/>
        </w:rPr>
        <w:t xml:space="preserve">(1) Kế thừa truyền thống lịch sử, truyền thống, văn hóa lâu đời: Tuyên Quang là một địa danh có bề dày lịch sử và truyền thống văn hóa hơn 600 năm, xuất hiện từ thời nhà Trần (thế kỷ 13) với tên gọi là châu Tuyên Quang, trải qua nhiều giai đoạn là Trấn, Phủ rồi trở thành tỉnh Tuyên Quang từ năm 1831 dưới thời vua Minh Mệnh (đầu triều Nguyễn), ĐGHC khi đó đã bao gồm cả tỉnh Hà Giang và một phần tỉnh Yên Bái ngày nay. Năm 1891, thực dân Pháp tách phần đất phía bắc Tuyên Quang để lập tiểu quân khu Hà Giang, đặt </w:t>
      </w:r>
      <w:r w:rsidR="00CC4849" w:rsidRPr="00B46584">
        <w:rPr>
          <w:bCs/>
          <w:spacing w:val="-6"/>
          <w:sz w:val="28"/>
          <w:szCs w:val="28"/>
          <w:lang w:val="nl-NL"/>
        </w:rPr>
        <w:t>dưới chế độ quân quản, và đến năm 1895 thì phân định thành tỉnh Hà Giang riêng biệt</w:t>
      </w:r>
      <w:r w:rsidR="00B46584">
        <w:rPr>
          <w:bCs/>
          <w:spacing w:val="-6"/>
          <w:sz w:val="28"/>
          <w:szCs w:val="28"/>
          <w:lang w:val="nl-NL"/>
        </w:rPr>
        <w:t>; n</w:t>
      </w:r>
      <w:r w:rsidR="00CC4849" w:rsidRPr="00CC4849">
        <w:rPr>
          <w:bCs/>
          <w:sz w:val="28"/>
          <w:szCs w:val="28"/>
          <w:lang w:val="nl-NL"/>
        </w:rPr>
        <w:t>hư vậy, Danh xưng Tuyên Quang đã gắn liền với lịch sử, truyền thống văn hóa lâu đời, trong đó bao trùm cả lịch sử truyền thống, văn hóa củ</w:t>
      </w:r>
      <w:r>
        <w:rPr>
          <w:bCs/>
          <w:sz w:val="28"/>
          <w:szCs w:val="28"/>
          <w:lang w:val="nl-NL"/>
        </w:rPr>
        <w:t>a Hà Giang</w:t>
      </w:r>
      <w:r w:rsidR="00B46584">
        <w:rPr>
          <w:bCs/>
          <w:sz w:val="28"/>
          <w:szCs w:val="28"/>
          <w:lang w:val="nl-NL"/>
        </w:rPr>
        <w:t>;</w:t>
      </w:r>
      <w:r>
        <w:rPr>
          <w:bCs/>
          <w:sz w:val="28"/>
          <w:szCs w:val="28"/>
          <w:lang w:val="nl-NL"/>
        </w:rPr>
        <w:t xml:space="preserve"> </w:t>
      </w:r>
      <w:r w:rsidR="00CC4849" w:rsidRPr="00DF6AA8">
        <w:rPr>
          <w:bCs/>
          <w:sz w:val="28"/>
          <w:szCs w:val="28"/>
          <w:lang w:val="nl-NL"/>
        </w:rPr>
        <w:t xml:space="preserve">(2) Là </w:t>
      </w:r>
      <w:r w:rsidR="00CC4849" w:rsidRPr="00DF6AA8">
        <w:rPr>
          <w:bCs/>
          <w:sz w:val="28"/>
          <w:szCs w:val="28"/>
          <w:lang w:val="nl-NL"/>
        </w:rPr>
        <w:lastRenderedPageBreak/>
        <w:t xml:space="preserve">thương hiệu phổ biến đã được nhận diện: </w:t>
      </w:r>
      <w:r w:rsidR="00CC4849" w:rsidRPr="00CC4849">
        <w:rPr>
          <w:bCs/>
          <w:sz w:val="28"/>
          <w:szCs w:val="28"/>
          <w:lang w:val="nl-NL"/>
        </w:rPr>
        <w:t>Danh xưng Tuyên Quang mang tính biểu tượng rất lớn. Trong Cách mạng Tháng Tám 1945, khu vực Tân Trào (Tuyên Quang) được chọn làm căn cứ địa trung ương, được gọi là “Thủ đô Khu giải phóng” và “Trung tâm Thủ đô Kháng chiến” của cả nước. Tại đình Tân Trào, Quốc dân Đại hội (16-17/8/1945) đã họp để quyết định Tổng khởi nghĩa, sự kiện lịch sử trọng đại của Dân tộc Việt Nam đã gắn liền với tên gọi Tuyên Quang. Với ý nghĩa đó, Tân Trào - Tuyên Quang đã được xếp hạng Di tích Quốc gia đặc biệt (2012) và trở thành “địa chỉ đỏ” về giáo dục truyền thống cách mạng cho các thế hệ người dân Việt Nam. Do đó, “Tuyên Quang” là một địa danh quen thuộc trong lịch sử và sách giáo khoa Việt Nam, cũng như lịch sử thế giới, gợi nhớ đến mảnh đất cách mạng anh hùng. Hầu như mọi người dân Việt Nam và nhiều bạn bè quốc tế đều từng nghe về Tuyên Quang qua bài học lịch sử về chủ nghĩa Anh hùng cách mạng của Việt Nam, vì vậy thương hiệu “Tuyên Quang” có sẵn độ nhận diện cao trên phạm vi quốc gia và được nhận biết trên bình diện quốc tế</w:t>
      </w:r>
      <w:r w:rsidR="00B46584">
        <w:rPr>
          <w:bCs/>
          <w:sz w:val="28"/>
          <w:szCs w:val="28"/>
          <w:lang w:val="nl-NL"/>
        </w:rPr>
        <w:t>;</w:t>
      </w:r>
      <w:r>
        <w:rPr>
          <w:bCs/>
          <w:sz w:val="28"/>
          <w:szCs w:val="28"/>
          <w:lang w:val="nl-NL"/>
        </w:rPr>
        <w:t xml:space="preserve"> </w:t>
      </w:r>
      <w:r>
        <w:rPr>
          <w:bCs/>
          <w:sz w:val="28"/>
          <w:szCs w:val="28"/>
          <w:lang w:val="vi-VN"/>
        </w:rPr>
        <w:t>(3)</w:t>
      </w:r>
      <w:r w:rsidR="00CC4849" w:rsidRPr="00CC4849">
        <w:rPr>
          <w:bCs/>
          <w:sz w:val="28"/>
          <w:szCs w:val="28"/>
          <w:lang w:val="nl-NL"/>
        </w:rPr>
        <w:t xml:space="preserve"> Bảo đảm nguyên tắc sử dụng một trong các tên đã có, dễ nhận diện, ngắn gọn, dễ đọc, dễ nhớ</w:t>
      </w:r>
      <w:r>
        <w:rPr>
          <w:bCs/>
          <w:sz w:val="28"/>
          <w:szCs w:val="28"/>
          <w:lang w:val="nl-NL"/>
        </w:rPr>
        <w:t xml:space="preserve">. </w:t>
      </w:r>
      <w:r w:rsidR="00CC4849" w:rsidRPr="00CC4849">
        <w:rPr>
          <w:bCs/>
          <w:sz w:val="28"/>
          <w:szCs w:val="28"/>
          <w:lang w:val="nl-NL"/>
        </w:rPr>
        <w:t>Việc chọn tên tỉnh mới là Tuyên Quang (một trong hai tên sẵn có trước sáp nhập) giúp giảm thiểu xáo trộn giấy tờ, tiết kiệm ngân sách, nhân lực, thời gian sau sáp nhập, qua đó bảo đảm nguyên tắc hạn chế tối đa tác động ảnh hưởng tới người dân, doanh nghiệp do phải chuyển đổi giấy tờ, chỉ dẫn địa lý; đồng thời, bảo đảm nguyên tắc dễ nhận diện, ngắn gọn, dễ đọc, dễ nhớ và phát huy được lợi thế so sánh của tỉnh mới với thương hiệu nhận diện là Tuyên Quang, phù hợp với xu thế hội nhập của đất nước trong kỷ nguyên mới.</w:t>
      </w:r>
    </w:p>
    <w:p w14:paraId="203DC463" w14:textId="77777777" w:rsidR="00CC4849" w:rsidRPr="003C686B" w:rsidRDefault="00CC4849" w:rsidP="00CC4849">
      <w:pPr>
        <w:spacing w:before="120" w:after="0" w:line="240" w:lineRule="auto"/>
        <w:ind w:firstLine="567"/>
        <w:jc w:val="both"/>
        <w:rPr>
          <w:b/>
          <w:bCs/>
          <w:sz w:val="28"/>
          <w:szCs w:val="28"/>
          <w:lang w:val="nl-NL"/>
        </w:rPr>
      </w:pPr>
      <w:r w:rsidRPr="003C686B">
        <w:rPr>
          <w:b/>
          <w:bCs/>
          <w:sz w:val="28"/>
          <w:szCs w:val="28"/>
          <w:lang w:val="nl-NL"/>
        </w:rPr>
        <w:t>3.2. Về trung tâm hành chính - chính trị của tỉnh</w:t>
      </w:r>
    </w:p>
    <w:p w14:paraId="7CA3BC98" w14:textId="41108669" w:rsidR="00CC4849" w:rsidRPr="00CC4849" w:rsidRDefault="00CC4849" w:rsidP="00CC4849">
      <w:pPr>
        <w:spacing w:before="120" w:after="0" w:line="240" w:lineRule="auto"/>
        <w:ind w:firstLine="567"/>
        <w:jc w:val="both"/>
        <w:rPr>
          <w:bCs/>
          <w:sz w:val="28"/>
          <w:szCs w:val="28"/>
          <w:lang w:val="nl-NL"/>
        </w:rPr>
      </w:pPr>
      <w:r w:rsidRPr="00CC4849">
        <w:rPr>
          <w:bCs/>
          <w:sz w:val="28"/>
          <w:szCs w:val="28"/>
          <w:lang w:val="nl-NL"/>
        </w:rPr>
        <w:t>- Nghị quyết số 60-NQ/TW ngày 12/4/2025 của Hội nghị lần thứ 11 Ban Chấp hành Trung ương Đả</w:t>
      </w:r>
      <w:r w:rsidR="00B46584">
        <w:rPr>
          <w:bCs/>
          <w:sz w:val="28"/>
          <w:szCs w:val="28"/>
          <w:lang w:val="nl-NL"/>
        </w:rPr>
        <w:t>ng khóa XIII x</w:t>
      </w:r>
      <w:r w:rsidR="00B46584" w:rsidRPr="00B46584">
        <w:rPr>
          <w:bCs/>
          <w:sz w:val="28"/>
          <w:szCs w:val="28"/>
          <w:lang w:val="nl-NL"/>
        </w:rPr>
        <w:t>ác</w:t>
      </w:r>
      <w:r w:rsidR="00B46584">
        <w:rPr>
          <w:bCs/>
          <w:sz w:val="28"/>
          <w:szCs w:val="28"/>
          <w:lang w:val="nl-NL"/>
        </w:rPr>
        <w:t xml:space="preserve"> đ</w:t>
      </w:r>
      <w:r w:rsidR="00B46584" w:rsidRPr="00B46584">
        <w:rPr>
          <w:bCs/>
          <w:sz w:val="28"/>
          <w:szCs w:val="28"/>
          <w:lang w:val="nl-NL"/>
        </w:rPr>
        <w:t>ịnh</w:t>
      </w:r>
      <w:r w:rsidR="00B46584">
        <w:rPr>
          <w:bCs/>
          <w:sz w:val="28"/>
          <w:szCs w:val="28"/>
          <w:lang w:val="nl-NL"/>
        </w:rPr>
        <w:t xml:space="preserve"> trung t</w:t>
      </w:r>
      <w:r w:rsidR="00B46584" w:rsidRPr="00B46584">
        <w:rPr>
          <w:bCs/>
          <w:sz w:val="28"/>
          <w:szCs w:val="28"/>
          <w:lang w:val="nl-NL"/>
        </w:rPr>
        <w:t>â</w:t>
      </w:r>
      <w:r w:rsidR="00B46584">
        <w:rPr>
          <w:bCs/>
          <w:sz w:val="28"/>
          <w:szCs w:val="28"/>
          <w:lang w:val="nl-NL"/>
        </w:rPr>
        <w:t>m h</w:t>
      </w:r>
      <w:r w:rsidR="00B46584" w:rsidRPr="00B46584">
        <w:rPr>
          <w:bCs/>
          <w:sz w:val="28"/>
          <w:szCs w:val="28"/>
          <w:lang w:val="nl-NL"/>
        </w:rPr>
        <w:t>à</w:t>
      </w:r>
      <w:r w:rsidR="00B46584">
        <w:rPr>
          <w:bCs/>
          <w:sz w:val="28"/>
          <w:szCs w:val="28"/>
          <w:lang w:val="nl-NL"/>
        </w:rPr>
        <w:t>nh ch</w:t>
      </w:r>
      <w:r w:rsidR="00B46584" w:rsidRPr="00B46584">
        <w:rPr>
          <w:bCs/>
          <w:sz w:val="28"/>
          <w:szCs w:val="28"/>
          <w:lang w:val="nl-NL"/>
        </w:rPr>
        <w:t>ín</w:t>
      </w:r>
      <w:r w:rsidR="00B46584">
        <w:rPr>
          <w:bCs/>
          <w:sz w:val="28"/>
          <w:szCs w:val="28"/>
          <w:lang w:val="nl-NL"/>
        </w:rPr>
        <w:t>h - ch</w:t>
      </w:r>
      <w:r w:rsidR="00B46584" w:rsidRPr="00B46584">
        <w:rPr>
          <w:bCs/>
          <w:sz w:val="28"/>
          <w:szCs w:val="28"/>
          <w:lang w:val="nl-NL"/>
        </w:rPr>
        <w:t>ín</w:t>
      </w:r>
      <w:r w:rsidR="00B46584">
        <w:rPr>
          <w:bCs/>
          <w:sz w:val="28"/>
          <w:szCs w:val="28"/>
          <w:lang w:val="nl-NL"/>
        </w:rPr>
        <w:t>h tr</w:t>
      </w:r>
      <w:r w:rsidR="00B46584" w:rsidRPr="00B46584">
        <w:rPr>
          <w:bCs/>
          <w:sz w:val="28"/>
          <w:szCs w:val="28"/>
          <w:lang w:val="nl-NL"/>
        </w:rPr>
        <w:t>ị</w:t>
      </w:r>
      <w:r w:rsidR="00B46584">
        <w:rPr>
          <w:bCs/>
          <w:sz w:val="28"/>
          <w:szCs w:val="28"/>
          <w:lang w:val="nl-NL"/>
        </w:rPr>
        <w:t xml:space="preserve"> c</w:t>
      </w:r>
      <w:r w:rsidR="00B46584" w:rsidRPr="00B46584">
        <w:rPr>
          <w:bCs/>
          <w:sz w:val="28"/>
          <w:szCs w:val="28"/>
          <w:lang w:val="nl-NL"/>
        </w:rPr>
        <w:t>ủa</w:t>
      </w:r>
      <w:r w:rsidR="00B46584">
        <w:rPr>
          <w:bCs/>
          <w:sz w:val="28"/>
          <w:szCs w:val="28"/>
          <w:lang w:val="nl-NL"/>
        </w:rPr>
        <w:t xml:space="preserve"> t</w:t>
      </w:r>
      <w:r w:rsidR="00B46584" w:rsidRPr="00B46584">
        <w:rPr>
          <w:bCs/>
          <w:sz w:val="28"/>
          <w:szCs w:val="28"/>
          <w:lang w:val="nl-NL"/>
        </w:rPr>
        <w:t>ỉn</w:t>
      </w:r>
      <w:r w:rsidR="00B46584">
        <w:rPr>
          <w:bCs/>
          <w:sz w:val="28"/>
          <w:szCs w:val="28"/>
          <w:lang w:val="nl-NL"/>
        </w:rPr>
        <w:t>h Tuy</w:t>
      </w:r>
      <w:r w:rsidR="00B46584" w:rsidRPr="00B46584">
        <w:rPr>
          <w:bCs/>
          <w:sz w:val="28"/>
          <w:szCs w:val="28"/>
          <w:lang w:val="nl-NL"/>
        </w:rPr>
        <w:t>ê</w:t>
      </w:r>
      <w:r w:rsidR="00B46584">
        <w:rPr>
          <w:bCs/>
          <w:sz w:val="28"/>
          <w:szCs w:val="28"/>
          <w:lang w:val="nl-NL"/>
        </w:rPr>
        <w:t>n Quang sau khi h</w:t>
      </w:r>
      <w:r w:rsidR="00B46584" w:rsidRPr="00B46584">
        <w:rPr>
          <w:bCs/>
          <w:sz w:val="28"/>
          <w:szCs w:val="28"/>
          <w:lang w:val="nl-NL"/>
        </w:rPr>
        <w:t>ợp</w:t>
      </w:r>
      <w:r w:rsidR="00B46584">
        <w:rPr>
          <w:bCs/>
          <w:sz w:val="28"/>
          <w:szCs w:val="28"/>
          <w:lang w:val="nl-NL"/>
        </w:rPr>
        <w:t xml:space="preserve"> nh</w:t>
      </w:r>
      <w:r w:rsidR="00B46584" w:rsidRPr="00B46584">
        <w:rPr>
          <w:bCs/>
          <w:sz w:val="28"/>
          <w:szCs w:val="28"/>
          <w:lang w:val="nl-NL"/>
        </w:rPr>
        <w:t>ất</w:t>
      </w:r>
      <w:r w:rsidR="00B46584">
        <w:rPr>
          <w:bCs/>
          <w:sz w:val="28"/>
          <w:szCs w:val="28"/>
          <w:lang w:val="nl-NL"/>
        </w:rPr>
        <w:t xml:space="preserve"> </w:t>
      </w:r>
      <w:r w:rsidR="00B46584" w:rsidRPr="00B46584">
        <w:rPr>
          <w:bCs/>
          <w:sz w:val="28"/>
          <w:szCs w:val="28"/>
          <w:lang w:val="nl-NL"/>
        </w:rPr>
        <w:t>đơ</w:t>
      </w:r>
      <w:r w:rsidR="00B46584">
        <w:rPr>
          <w:bCs/>
          <w:sz w:val="28"/>
          <w:szCs w:val="28"/>
          <w:lang w:val="nl-NL"/>
        </w:rPr>
        <w:t>n v</w:t>
      </w:r>
      <w:r w:rsidR="00B46584" w:rsidRPr="00B46584">
        <w:rPr>
          <w:bCs/>
          <w:sz w:val="28"/>
          <w:szCs w:val="28"/>
          <w:lang w:val="nl-NL"/>
        </w:rPr>
        <w:t>ị</w:t>
      </w:r>
      <w:r w:rsidR="00B46584">
        <w:rPr>
          <w:bCs/>
          <w:sz w:val="28"/>
          <w:szCs w:val="28"/>
          <w:lang w:val="nl-NL"/>
        </w:rPr>
        <w:t xml:space="preserve"> h</w:t>
      </w:r>
      <w:r w:rsidR="00B46584" w:rsidRPr="00B46584">
        <w:rPr>
          <w:bCs/>
          <w:sz w:val="28"/>
          <w:szCs w:val="28"/>
          <w:lang w:val="nl-NL"/>
        </w:rPr>
        <w:t>à</w:t>
      </w:r>
      <w:r w:rsidR="00B46584">
        <w:rPr>
          <w:bCs/>
          <w:sz w:val="28"/>
          <w:szCs w:val="28"/>
          <w:lang w:val="nl-NL"/>
        </w:rPr>
        <w:t>nh ch</w:t>
      </w:r>
      <w:r w:rsidR="00B46584" w:rsidRPr="00B46584">
        <w:rPr>
          <w:bCs/>
          <w:sz w:val="28"/>
          <w:szCs w:val="28"/>
          <w:lang w:val="nl-NL"/>
        </w:rPr>
        <w:t>ính</w:t>
      </w:r>
      <w:r w:rsidR="00B46584">
        <w:rPr>
          <w:bCs/>
          <w:sz w:val="28"/>
          <w:szCs w:val="28"/>
          <w:lang w:val="nl-NL"/>
        </w:rPr>
        <w:t xml:space="preserve"> t</w:t>
      </w:r>
      <w:r w:rsidR="00B46584" w:rsidRPr="00B46584">
        <w:rPr>
          <w:bCs/>
          <w:sz w:val="28"/>
          <w:szCs w:val="28"/>
          <w:lang w:val="nl-NL"/>
        </w:rPr>
        <w:t>ỉn</w:t>
      </w:r>
      <w:r w:rsidR="00B46584">
        <w:rPr>
          <w:bCs/>
          <w:sz w:val="28"/>
          <w:szCs w:val="28"/>
          <w:lang w:val="nl-NL"/>
        </w:rPr>
        <w:t>h Tuy</w:t>
      </w:r>
      <w:r w:rsidR="00B46584" w:rsidRPr="00B46584">
        <w:rPr>
          <w:bCs/>
          <w:sz w:val="28"/>
          <w:szCs w:val="28"/>
          <w:lang w:val="nl-NL"/>
        </w:rPr>
        <w:t>ê</w:t>
      </w:r>
      <w:r w:rsidR="00B46584">
        <w:rPr>
          <w:bCs/>
          <w:sz w:val="28"/>
          <w:szCs w:val="28"/>
          <w:lang w:val="nl-NL"/>
        </w:rPr>
        <w:t>n Quang v</w:t>
      </w:r>
      <w:r w:rsidR="00B46584" w:rsidRPr="00B46584">
        <w:rPr>
          <w:bCs/>
          <w:sz w:val="28"/>
          <w:szCs w:val="28"/>
          <w:lang w:val="nl-NL"/>
        </w:rPr>
        <w:t>à</w:t>
      </w:r>
      <w:r w:rsidR="00B46584">
        <w:rPr>
          <w:bCs/>
          <w:sz w:val="28"/>
          <w:szCs w:val="28"/>
          <w:lang w:val="nl-NL"/>
        </w:rPr>
        <w:t xml:space="preserve"> t</w:t>
      </w:r>
      <w:r w:rsidR="00B46584" w:rsidRPr="00B46584">
        <w:rPr>
          <w:bCs/>
          <w:sz w:val="28"/>
          <w:szCs w:val="28"/>
          <w:lang w:val="nl-NL"/>
        </w:rPr>
        <w:t>ỉn</w:t>
      </w:r>
      <w:r w:rsidR="00B46584">
        <w:rPr>
          <w:bCs/>
          <w:sz w:val="28"/>
          <w:szCs w:val="28"/>
          <w:lang w:val="nl-NL"/>
        </w:rPr>
        <w:t>h H</w:t>
      </w:r>
      <w:r w:rsidR="00B46584" w:rsidRPr="00B46584">
        <w:rPr>
          <w:bCs/>
          <w:sz w:val="28"/>
          <w:szCs w:val="28"/>
          <w:lang w:val="nl-NL"/>
        </w:rPr>
        <w:t>à</w:t>
      </w:r>
      <w:r w:rsidR="00B46584">
        <w:rPr>
          <w:bCs/>
          <w:sz w:val="28"/>
          <w:szCs w:val="28"/>
          <w:lang w:val="nl-NL"/>
        </w:rPr>
        <w:t xml:space="preserve"> Giang đ</w:t>
      </w:r>
      <w:r w:rsidR="00B46584" w:rsidRPr="00B46584">
        <w:rPr>
          <w:bCs/>
          <w:sz w:val="28"/>
          <w:szCs w:val="28"/>
          <w:lang w:val="nl-NL"/>
        </w:rPr>
        <w:t>ặt</w:t>
      </w:r>
      <w:r w:rsidR="00B46584">
        <w:rPr>
          <w:bCs/>
          <w:sz w:val="28"/>
          <w:szCs w:val="28"/>
          <w:lang w:val="nl-NL"/>
        </w:rPr>
        <w:t xml:space="preserve"> t</w:t>
      </w:r>
      <w:r w:rsidR="00B46584" w:rsidRPr="00B46584">
        <w:rPr>
          <w:bCs/>
          <w:sz w:val="28"/>
          <w:szCs w:val="28"/>
          <w:lang w:val="nl-NL"/>
        </w:rPr>
        <w:t>ại</w:t>
      </w:r>
      <w:r w:rsidR="00B46584">
        <w:rPr>
          <w:bCs/>
          <w:sz w:val="28"/>
          <w:szCs w:val="28"/>
          <w:lang w:val="nl-NL"/>
        </w:rPr>
        <w:t xml:space="preserve"> t</w:t>
      </w:r>
      <w:r w:rsidR="00B46584" w:rsidRPr="00B46584">
        <w:rPr>
          <w:bCs/>
          <w:sz w:val="28"/>
          <w:szCs w:val="28"/>
          <w:lang w:val="nl-NL"/>
        </w:rPr>
        <w:t>ỉn</w:t>
      </w:r>
      <w:r w:rsidR="00B46584">
        <w:rPr>
          <w:bCs/>
          <w:sz w:val="28"/>
          <w:szCs w:val="28"/>
          <w:lang w:val="nl-NL"/>
        </w:rPr>
        <w:t>h Tuy</w:t>
      </w:r>
      <w:r w:rsidR="00B46584" w:rsidRPr="00B46584">
        <w:rPr>
          <w:bCs/>
          <w:sz w:val="28"/>
          <w:szCs w:val="28"/>
          <w:lang w:val="nl-NL"/>
        </w:rPr>
        <w:t>ê</w:t>
      </w:r>
      <w:r w:rsidR="00B46584">
        <w:rPr>
          <w:bCs/>
          <w:sz w:val="28"/>
          <w:szCs w:val="28"/>
          <w:lang w:val="nl-NL"/>
        </w:rPr>
        <w:t>n Quang hi</w:t>
      </w:r>
      <w:r w:rsidR="00B46584" w:rsidRPr="00B46584">
        <w:rPr>
          <w:bCs/>
          <w:sz w:val="28"/>
          <w:szCs w:val="28"/>
          <w:lang w:val="nl-NL"/>
        </w:rPr>
        <w:t>ện</w:t>
      </w:r>
      <w:r w:rsidR="00B46584">
        <w:rPr>
          <w:bCs/>
          <w:sz w:val="28"/>
          <w:szCs w:val="28"/>
          <w:lang w:val="nl-NL"/>
        </w:rPr>
        <w:t xml:space="preserve"> nay.</w:t>
      </w:r>
    </w:p>
    <w:p w14:paraId="30871333" w14:textId="471F575B" w:rsidR="00CC4849" w:rsidRPr="00CC4849" w:rsidRDefault="00CC4849" w:rsidP="00CC4849">
      <w:pPr>
        <w:spacing w:before="120" w:after="0" w:line="240" w:lineRule="auto"/>
        <w:ind w:firstLine="567"/>
        <w:jc w:val="both"/>
        <w:rPr>
          <w:bCs/>
          <w:sz w:val="28"/>
          <w:szCs w:val="28"/>
          <w:lang w:val="nl-NL"/>
        </w:rPr>
      </w:pPr>
      <w:r w:rsidRPr="00CC4849">
        <w:rPr>
          <w:bCs/>
          <w:sz w:val="28"/>
          <w:szCs w:val="28"/>
          <w:lang w:val="nl-NL"/>
        </w:rPr>
        <w:t xml:space="preserve">- Việc đặt trung tâm hành chính tại tỉnh Tuyên Quang </w:t>
      </w:r>
      <w:r w:rsidR="00B46584">
        <w:rPr>
          <w:bCs/>
          <w:sz w:val="28"/>
          <w:szCs w:val="28"/>
          <w:lang w:val="nl-NL"/>
        </w:rPr>
        <w:t>hi</w:t>
      </w:r>
      <w:r w:rsidR="00B46584" w:rsidRPr="00B46584">
        <w:rPr>
          <w:bCs/>
          <w:sz w:val="28"/>
          <w:szCs w:val="28"/>
          <w:lang w:val="nl-NL"/>
        </w:rPr>
        <w:t>ện</w:t>
      </w:r>
      <w:r w:rsidR="00B46584">
        <w:rPr>
          <w:bCs/>
          <w:sz w:val="28"/>
          <w:szCs w:val="28"/>
          <w:lang w:val="nl-NL"/>
        </w:rPr>
        <w:t xml:space="preserve"> nay </w:t>
      </w:r>
      <w:r w:rsidRPr="00CC4849">
        <w:rPr>
          <w:bCs/>
          <w:sz w:val="28"/>
          <w:szCs w:val="28"/>
          <w:lang w:val="nl-NL"/>
        </w:rPr>
        <w:t>trên cơ sở kế thừa các yếu tố lịch sử, truyền thống, địa kinh tế hạ tầng</w:t>
      </w:r>
      <w:r w:rsidR="003C686B">
        <w:rPr>
          <w:bCs/>
          <w:sz w:val="28"/>
          <w:szCs w:val="28"/>
          <w:lang w:val="nl-NL"/>
        </w:rPr>
        <w:t>,</w:t>
      </w:r>
      <w:r w:rsidRPr="00CC4849">
        <w:rPr>
          <w:bCs/>
          <w:sz w:val="28"/>
          <w:szCs w:val="28"/>
          <w:lang w:val="nl-NL"/>
        </w:rPr>
        <w:t>...</w:t>
      </w:r>
      <w:r w:rsidR="003C686B">
        <w:rPr>
          <w:bCs/>
          <w:sz w:val="28"/>
          <w:szCs w:val="28"/>
          <w:lang w:val="nl-NL"/>
        </w:rPr>
        <w:t xml:space="preserve"> </w:t>
      </w:r>
      <w:r w:rsidRPr="00CC4849">
        <w:rPr>
          <w:bCs/>
          <w:sz w:val="28"/>
          <w:szCs w:val="28"/>
          <w:lang w:val="nl-NL"/>
        </w:rPr>
        <w:t>và bảo đảm an ninh - quốc phòng, cụ thể:</w:t>
      </w:r>
    </w:p>
    <w:p w14:paraId="48F8484B" w14:textId="77777777" w:rsidR="00CC4849" w:rsidRPr="00CC4849" w:rsidRDefault="00CC4849" w:rsidP="00CC4849">
      <w:pPr>
        <w:spacing w:before="120" w:after="0" w:line="240" w:lineRule="auto"/>
        <w:ind w:firstLine="567"/>
        <w:jc w:val="both"/>
        <w:rPr>
          <w:bCs/>
          <w:sz w:val="28"/>
          <w:szCs w:val="28"/>
          <w:lang w:val="nl-NL"/>
        </w:rPr>
      </w:pPr>
      <w:r w:rsidRPr="003C686B">
        <w:rPr>
          <w:b/>
          <w:bCs/>
          <w:i/>
          <w:sz w:val="28"/>
          <w:szCs w:val="28"/>
          <w:lang w:val="nl-NL"/>
        </w:rPr>
        <w:t>(1) Kế thừa yếu tố lịch sử, truyền thống</w:t>
      </w:r>
      <w:r w:rsidRPr="00CC4849">
        <w:rPr>
          <w:bCs/>
          <w:sz w:val="28"/>
          <w:szCs w:val="28"/>
          <w:lang w:val="nl-NL"/>
        </w:rPr>
        <w:t xml:space="preserve">: Qua các lần sáp nhập giữa tỉnh Tuyên Quang và tỉnh Hà Giang trong lịch sử, trung tâm hành chính - chính trị của tỉnh đều đặt ở Tuyên Quang, cụ thể như:  </w:t>
      </w:r>
    </w:p>
    <w:p w14:paraId="77FA4AFF" w14:textId="77777777" w:rsidR="00CC4849" w:rsidRPr="00CC4849" w:rsidRDefault="00CC4849" w:rsidP="00CC4849">
      <w:pPr>
        <w:spacing w:before="120" w:after="0" w:line="240" w:lineRule="auto"/>
        <w:ind w:firstLine="567"/>
        <w:jc w:val="both"/>
        <w:rPr>
          <w:bCs/>
          <w:sz w:val="28"/>
          <w:szCs w:val="28"/>
          <w:lang w:val="nl-NL"/>
        </w:rPr>
      </w:pPr>
      <w:r w:rsidRPr="00CC4849">
        <w:rPr>
          <w:bCs/>
          <w:sz w:val="28"/>
          <w:szCs w:val="28"/>
          <w:lang w:val="nl-NL"/>
        </w:rPr>
        <w:t>- Ngày 11/4/1900, Toàn quyền Đông Dương ra Nghị định tái thành lập tỉnh Tuyên Quang (trong đó bao gồm Hà Giang), trung tâm hành chính - chính trị đặt tại xã Ỷ La (nay là Phường Ỷ La, thành phố Tuyên Quang);</w:t>
      </w:r>
    </w:p>
    <w:p w14:paraId="581C0C1A" w14:textId="77777777" w:rsidR="00CC4849" w:rsidRPr="00CC4849" w:rsidRDefault="00CC4849" w:rsidP="00CC4849">
      <w:pPr>
        <w:spacing w:before="120" w:after="0" w:line="240" w:lineRule="auto"/>
        <w:ind w:firstLine="567"/>
        <w:jc w:val="both"/>
        <w:rPr>
          <w:bCs/>
          <w:sz w:val="28"/>
          <w:szCs w:val="28"/>
          <w:lang w:val="nl-NL"/>
        </w:rPr>
      </w:pPr>
      <w:r w:rsidRPr="00CC4849">
        <w:rPr>
          <w:bCs/>
          <w:sz w:val="28"/>
          <w:szCs w:val="28"/>
          <w:lang w:val="nl-NL"/>
        </w:rPr>
        <w:t>- Tỉnh Hà Tuyên được thành lập vào ngày 27/12/1975 theo nghị quyết của Quốc hội trên cơ sở hợp nhất hai tỉnh Hà Giang và Tuyên Quang. Khi hợp nhất, tỉnh Hà Tuyên bao gồm 2 thị xã: thị xã Tuyên Quang, thị xã Hà Giang và 13 huyện. Tỉnh lỵ của tỉnh ban đầu được đặt tại thị xã Hà Giang và đến năm 1979 được dời về thị xã Tuyên Quang.</w:t>
      </w:r>
    </w:p>
    <w:p w14:paraId="3B75452B" w14:textId="77777777" w:rsidR="00F16E66" w:rsidRDefault="00F16E66" w:rsidP="00CC4849">
      <w:pPr>
        <w:spacing w:before="120" w:after="0" w:line="240" w:lineRule="auto"/>
        <w:ind w:firstLine="567"/>
        <w:jc w:val="both"/>
        <w:rPr>
          <w:b/>
          <w:bCs/>
          <w:i/>
          <w:sz w:val="28"/>
          <w:szCs w:val="28"/>
          <w:lang w:val="nl-NL"/>
        </w:rPr>
      </w:pPr>
    </w:p>
    <w:p w14:paraId="470917D6" w14:textId="6AC5A5C4" w:rsidR="00CC4849" w:rsidRPr="00CC4849" w:rsidRDefault="00CC4849" w:rsidP="00CC4849">
      <w:pPr>
        <w:spacing w:before="120" w:after="0" w:line="240" w:lineRule="auto"/>
        <w:ind w:firstLine="567"/>
        <w:jc w:val="both"/>
        <w:rPr>
          <w:bCs/>
          <w:sz w:val="28"/>
          <w:szCs w:val="28"/>
          <w:lang w:val="nl-NL"/>
        </w:rPr>
      </w:pPr>
      <w:bookmarkStart w:id="0" w:name="_GoBack"/>
      <w:bookmarkEnd w:id="0"/>
      <w:r w:rsidRPr="003C686B">
        <w:rPr>
          <w:b/>
          <w:bCs/>
          <w:i/>
          <w:sz w:val="28"/>
          <w:szCs w:val="28"/>
          <w:lang w:val="nl-NL"/>
        </w:rPr>
        <w:lastRenderedPageBreak/>
        <w:t>(2) Địa kinh tế, hạ tầng giao thông và liên kết vùng</w:t>
      </w:r>
      <w:r w:rsidRPr="00CC4849">
        <w:rPr>
          <w:bCs/>
          <w:sz w:val="28"/>
          <w:szCs w:val="28"/>
          <w:lang w:val="nl-NL"/>
        </w:rPr>
        <w:t xml:space="preserve">: </w:t>
      </w:r>
    </w:p>
    <w:p w14:paraId="42E45724" w14:textId="77777777" w:rsidR="00CC4849" w:rsidRPr="00CC4849" w:rsidRDefault="00CC4849" w:rsidP="00CC4849">
      <w:pPr>
        <w:spacing w:before="120" w:after="0" w:line="240" w:lineRule="auto"/>
        <w:ind w:firstLine="567"/>
        <w:jc w:val="both"/>
        <w:rPr>
          <w:bCs/>
          <w:sz w:val="28"/>
          <w:szCs w:val="28"/>
          <w:lang w:val="nl-NL"/>
        </w:rPr>
      </w:pPr>
      <w:r w:rsidRPr="00CC4849">
        <w:rPr>
          <w:bCs/>
          <w:sz w:val="28"/>
          <w:szCs w:val="28"/>
          <w:lang w:val="nl-NL"/>
        </w:rPr>
        <w:t xml:space="preserve">Khoảng cách từ thành phố Tuyên Quang đến thành phố Hà Nội khoảng 130 km, khoảng cách từ thành phố Tuyên Quang đến thành phố Hà Giang là khoảng 150 km, thuận lợi cho việc di chuyển về trung tâm thủ đô Hà Nội và di chuyển về trung tâm tỉnh Hà Giang hiện nay, cùng với việc hoàn thành xây dựng tuyến cao tốc Tuyên Quang - Hà Giang giúp kết nối thuận lợi với tất cả các ĐVHC cơ sở của tỉnh mới; </w:t>
      </w:r>
    </w:p>
    <w:p w14:paraId="4CEFD738" w14:textId="5BE03DCB" w:rsidR="00CC4849" w:rsidRPr="00CC4849" w:rsidRDefault="00B46584" w:rsidP="00CC4849">
      <w:pPr>
        <w:spacing w:before="120" w:after="0" w:line="240" w:lineRule="auto"/>
        <w:ind w:firstLine="567"/>
        <w:jc w:val="both"/>
        <w:rPr>
          <w:bCs/>
          <w:sz w:val="28"/>
          <w:szCs w:val="28"/>
          <w:lang w:val="nl-NL"/>
        </w:rPr>
      </w:pPr>
      <w:r>
        <w:rPr>
          <w:bCs/>
          <w:sz w:val="28"/>
          <w:szCs w:val="28"/>
          <w:lang w:val="nl-NL"/>
        </w:rPr>
        <w:t>Th</w:t>
      </w:r>
      <w:r w:rsidRPr="00B46584">
        <w:rPr>
          <w:bCs/>
          <w:sz w:val="28"/>
          <w:szCs w:val="28"/>
          <w:lang w:val="nl-NL"/>
        </w:rPr>
        <w:t>àn</w:t>
      </w:r>
      <w:r>
        <w:rPr>
          <w:bCs/>
          <w:sz w:val="28"/>
          <w:szCs w:val="28"/>
          <w:lang w:val="nl-NL"/>
        </w:rPr>
        <w:t>h ph</w:t>
      </w:r>
      <w:r w:rsidRPr="00B46584">
        <w:rPr>
          <w:bCs/>
          <w:sz w:val="28"/>
          <w:szCs w:val="28"/>
          <w:lang w:val="nl-NL"/>
        </w:rPr>
        <w:t>ố</w:t>
      </w:r>
      <w:r w:rsidR="00CC4849" w:rsidRPr="00CC4849">
        <w:rPr>
          <w:bCs/>
          <w:sz w:val="28"/>
          <w:szCs w:val="28"/>
          <w:lang w:val="nl-NL"/>
        </w:rPr>
        <w:t xml:space="preserve"> Tuyên Quang</w:t>
      </w:r>
      <w:r>
        <w:rPr>
          <w:bCs/>
          <w:sz w:val="28"/>
          <w:szCs w:val="28"/>
          <w:lang w:val="nl-NL"/>
        </w:rPr>
        <w:t xml:space="preserve"> hi</w:t>
      </w:r>
      <w:r w:rsidRPr="00B46584">
        <w:rPr>
          <w:bCs/>
          <w:sz w:val="28"/>
          <w:szCs w:val="28"/>
          <w:lang w:val="nl-NL"/>
        </w:rPr>
        <w:t>ện</w:t>
      </w:r>
      <w:r>
        <w:rPr>
          <w:bCs/>
          <w:sz w:val="28"/>
          <w:szCs w:val="28"/>
          <w:lang w:val="nl-NL"/>
        </w:rPr>
        <w:t xml:space="preserve"> nay</w:t>
      </w:r>
      <w:r w:rsidR="00CC4849" w:rsidRPr="00CC4849">
        <w:rPr>
          <w:bCs/>
          <w:sz w:val="28"/>
          <w:szCs w:val="28"/>
          <w:lang w:val="nl-NL"/>
        </w:rPr>
        <w:t xml:space="preserve"> kết nối thuận lợi với các tỉnh trung du, đồng bằng Bắc Bộ và Thủ đô Hà Nội qua tuyến cao tốc Tuyên Quang - Phú Thọ (nối vào cao tốc Nội Bài </w:t>
      </w:r>
      <w:r>
        <w:rPr>
          <w:bCs/>
          <w:sz w:val="28"/>
          <w:szCs w:val="28"/>
          <w:lang w:val="nl-NL"/>
        </w:rPr>
        <w:t>-</w:t>
      </w:r>
      <w:r w:rsidR="00CC4849" w:rsidRPr="00CC4849">
        <w:rPr>
          <w:bCs/>
          <w:sz w:val="28"/>
          <w:szCs w:val="28"/>
          <w:lang w:val="nl-NL"/>
        </w:rPr>
        <w:t xml:space="preserve"> Lào Cai), các Quốc lộ 2, 2C, 37, đường Hồ Chí Minh…, tạo thành một hành lang giao thông xuyên suốt, giúp lưu thông hàng hóa và đi lại thông suốt trong toàn vùng. Hạ tầng giao thông đồng bộ này giúp Tuyên Quang trở thành đầu mối liên kết vùng, tạo điều kiện tiếp cận nhanh đến các trung tâm kinh tế lớn và thúc đẩy giao thương nội địa cũng như xuất khẩu.</w:t>
      </w:r>
    </w:p>
    <w:p w14:paraId="282062B3" w14:textId="77777777" w:rsidR="00CC4849" w:rsidRPr="00CC4849" w:rsidRDefault="00CC4849" w:rsidP="00CC4849">
      <w:pPr>
        <w:spacing w:before="120" w:after="0" w:line="240" w:lineRule="auto"/>
        <w:ind w:firstLine="567"/>
        <w:jc w:val="both"/>
        <w:rPr>
          <w:bCs/>
          <w:sz w:val="28"/>
          <w:szCs w:val="28"/>
          <w:lang w:val="nl-NL"/>
        </w:rPr>
      </w:pPr>
      <w:r w:rsidRPr="003C686B">
        <w:rPr>
          <w:b/>
          <w:bCs/>
          <w:i/>
          <w:sz w:val="28"/>
          <w:szCs w:val="28"/>
          <w:lang w:val="nl-NL"/>
        </w:rPr>
        <w:t>(3) Đáp ứng tốt các điều kiện và cơ sở, vật chất và hạ tầng đô thị</w:t>
      </w:r>
      <w:r w:rsidRPr="00CC4849">
        <w:rPr>
          <w:bCs/>
          <w:sz w:val="28"/>
          <w:szCs w:val="28"/>
          <w:lang w:val="nl-NL"/>
        </w:rPr>
        <w:t xml:space="preserve">: Thành phố Tuyên Quang hiện nay đã được đầu tư cơ sở hạ tầng đạt tiêu chí đô thị loại II, đang đầu tư xây dựng đạt tiêu chí đô thị loại I theo quy hoạch đã được cấp có thẩm quyền phê duyệt. Cơ sở hạ tầng hiện có cơ bản đã bảo đảm các điều kiện để bố trí trụ sở của các cơ quan của Đảng, chính quyền, Mặt trận Tổ quốc và các tổ chức </w:t>
      </w:r>
      <w:r w:rsidRPr="00B46584">
        <w:rPr>
          <w:bCs/>
          <w:spacing w:val="-6"/>
          <w:sz w:val="28"/>
          <w:szCs w:val="28"/>
          <w:lang w:val="nl-NL"/>
        </w:rPr>
        <w:t xml:space="preserve">chính trị - xã hội, các tổ chức khác của tỉnh mới. Việc bố trí trung tâm hành chính - </w:t>
      </w:r>
      <w:r w:rsidRPr="00CC4849">
        <w:rPr>
          <w:bCs/>
          <w:sz w:val="28"/>
          <w:szCs w:val="28"/>
          <w:lang w:val="nl-NL"/>
        </w:rPr>
        <w:t>chính trị của tỉnh mới tại tỉnh Tuyên Quang và sử dụng cơ sở hạ tầng hiện có góp phần thực hiện tiết kiệm tối đa ngân sách nhà nước và các nguồn lực để tập trung cho đầu tư phát triển tỉnh mới trong tương lai.</w:t>
      </w:r>
    </w:p>
    <w:p w14:paraId="62443CF1" w14:textId="77777777" w:rsidR="001A4D16" w:rsidRDefault="00CC4849" w:rsidP="00CC4849">
      <w:pPr>
        <w:spacing w:before="120" w:after="0" w:line="240" w:lineRule="auto"/>
        <w:ind w:firstLine="567"/>
        <w:jc w:val="both"/>
        <w:rPr>
          <w:bCs/>
          <w:sz w:val="28"/>
          <w:szCs w:val="28"/>
          <w:lang w:val="nl-NL"/>
        </w:rPr>
      </w:pPr>
      <w:r w:rsidRPr="003C686B">
        <w:rPr>
          <w:b/>
          <w:bCs/>
          <w:i/>
          <w:sz w:val="28"/>
          <w:szCs w:val="28"/>
          <w:lang w:val="nl-NL"/>
        </w:rPr>
        <w:t>(4) Đáp ứng các điều kiện về quy hoạch và mở rộng không gian phát triển đô thị trong tương lai</w:t>
      </w:r>
      <w:r w:rsidRPr="00CC4849">
        <w:rPr>
          <w:bCs/>
          <w:sz w:val="28"/>
          <w:szCs w:val="28"/>
          <w:lang w:val="nl-NL"/>
        </w:rPr>
        <w:t>: Tuyên Quang có quỹ đất và không gian phát triển đô thị thuận lợi cho việc mở rộng và nâng cấp trong tương lai, đáp ứng tầm nhìn phát triển dài hạn cũng như khả năng đáp ứng các tiêu chí đô thị cao cấp của thành phố, sẵn sàng đảm nhiệm vai trò trung tâm hành chính - chính trị cấp tỉnh với quy mô lớn, phù hợp với định hướng phát triển của thành phố Tuyên Quang trong quy hoạch vùng : “phát triển theo hướng bền vững, giữ gìn và phát huy bản sắc văn hóa các dân tộc, đồng thời nâng cao chất lượng nguồn nhân lực, phát triển du lịch và nông nghiệp dựa trên giá trị bản sắc của các cộng đồng bản địa”</w:t>
      </w:r>
      <w:r w:rsidR="001A4D16">
        <w:rPr>
          <w:bCs/>
          <w:sz w:val="28"/>
          <w:szCs w:val="28"/>
          <w:lang w:val="nl-NL"/>
        </w:rPr>
        <w:t>.</w:t>
      </w:r>
    </w:p>
    <w:p w14:paraId="26243101" w14:textId="43C0FF1A" w:rsidR="00CC4849" w:rsidRDefault="001A4D16" w:rsidP="00CC4849">
      <w:pPr>
        <w:spacing w:before="120" w:after="0" w:line="240" w:lineRule="auto"/>
        <w:ind w:firstLine="567"/>
        <w:jc w:val="both"/>
        <w:rPr>
          <w:bCs/>
          <w:sz w:val="28"/>
          <w:szCs w:val="28"/>
          <w:lang w:val="nl-NL"/>
        </w:rPr>
      </w:pPr>
      <w:r>
        <w:rPr>
          <w:bCs/>
          <w:sz w:val="28"/>
          <w:szCs w:val="28"/>
          <w:lang w:val="nl-NL"/>
        </w:rPr>
        <w:t>Đ</w:t>
      </w:r>
      <w:r w:rsidRPr="001A4D16">
        <w:rPr>
          <w:bCs/>
          <w:sz w:val="28"/>
          <w:szCs w:val="28"/>
          <w:lang w:val="nl-NL"/>
        </w:rPr>
        <w:t>ề</w:t>
      </w:r>
      <w:r>
        <w:rPr>
          <w:bCs/>
          <w:sz w:val="28"/>
          <w:szCs w:val="28"/>
          <w:lang w:val="nl-NL"/>
        </w:rPr>
        <w:t xml:space="preserve"> </w:t>
      </w:r>
      <w:r w:rsidRPr="001A4D16">
        <w:rPr>
          <w:bCs/>
          <w:sz w:val="28"/>
          <w:szCs w:val="28"/>
          <w:lang w:val="nl-NL"/>
        </w:rPr>
        <w:t>á</w:t>
      </w:r>
      <w:r>
        <w:rPr>
          <w:bCs/>
          <w:sz w:val="28"/>
          <w:szCs w:val="28"/>
          <w:lang w:val="nl-NL"/>
        </w:rPr>
        <w:t>n nh</w:t>
      </w:r>
      <w:r w:rsidRPr="001A4D16">
        <w:rPr>
          <w:bCs/>
          <w:sz w:val="28"/>
          <w:szCs w:val="28"/>
          <w:lang w:val="nl-NL"/>
        </w:rPr>
        <w:t>ất</w:t>
      </w:r>
      <w:r>
        <w:rPr>
          <w:bCs/>
          <w:sz w:val="28"/>
          <w:szCs w:val="28"/>
          <w:lang w:val="nl-NL"/>
        </w:rPr>
        <w:t xml:space="preserve"> </w:t>
      </w:r>
      <w:r w:rsidRPr="001A4D16">
        <w:rPr>
          <w:bCs/>
          <w:sz w:val="28"/>
          <w:szCs w:val="28"/>
          <w:lang w:val="nl-NL"/>
        </w:rPr>
        <w:t>Đ</w:t>
      </w:r>
      <w:r>
        <w:rPr>
          <w:bCs/>
          <w:sz w:val="28"/>
          <w:szCs w:val="28"/>
          <w:lang w:val="nl-NL"/>
        </w:rPr>
        <w:t>VHC t</w:t>
      </w:r>
      <w:r w:rsidRPr="001A4D16">
        <w:rPr>
          <w:bCs/>
          <w:sz w:val="28"/>
          <w:szCs w:val="28"/>
          <w:lang w:val="nl-NL"/>
        </w:rPr>
        <w:t>ỉn</w:t>
      </w:r>
      <w:r>
        <w:rPr>
          <w:bCs/>
          <w:sz w:val="28"/>
          <w:szCs w:val="28"/>
          <w:lang w:val="nl-NL"/>
        </w:rPr>
        <w:t>h Tuy</w:t>
      </w:r>
      <w:r w:rsidRPr="001A4D16">
        <w:rPr>
          <w:bCs/>
          <w:sz w:val="28"/>
          <w:szCs w:val="28"/>
          <w:lang w:val="nl-NL"/>
        </w:rPr>
        <w:t>ê</w:t>
      </w:r>
      <w:r>
        <w:rPr>
          <w:bCs/>
          <w:sz w:val="28"/>
          <w:szCs w:val="28"/>
          <w:lang w:val="nl-NL"/>
        </w:rPr>
        <w:t>n Quang v</w:t>
      </w:r>
      <w:r w:rsidRPr="001A4D16">
        <w:rPr>
          <w:bCs/>
          <w:sz w:val="28"/>
          <w:szCs w:val="28"/>
          <w:lang w:val="nl-NL"/>
        </w:rPr>
        <w:t>à</w:t>
      </w:r>
      <w:r>
        <w:rPr>
          <w:bCs/>
          <w:sz w:val="28"/>
          <w:szCs w:val="28"/>
          <w:lang w:val="nl-NL"/>
        </w:rPr>
        <w:t xml:space="preserve"> t</w:t>
      </w:r>
      <w:r w:rsidRPr="001A4D16">
        <w:rPr>
          <w:bCs/>
          <w:sz w:val="28"/>
          <w:szCs w:val="28"/>
          <w:lang w:val="nl-NL"/>
        </w:rPr>
        <w:t>ỉn</w:t>
      </w:r>
      <w:r>
        <w:rPr>
          <w:bCs/>
          <w:sz w:val="28"/>
          <w:szCs w:val="28"/>
          <w:lang w:val="nl-NL"/>
        </w:rPr>
        <w:t>h H</w:t>
      </w:r>
      <w:r w:rsidRPr="001A4D16">
        <w:rPr>
          <w:bCs/>
          <w:sz w:val="28"/>
          <w:szCs w:val="28"/>
          <w:lang w:val="nl-NL"/>
        </w:rPr>
        <w:t>à</w:t>
      </w:r>
      <w:r>
        <w:rPr>
          <w:bCs/>
          <w:sz w:val="28"/>
          <w:szCs w:val="28"/>
          <w:lang w:val="nl-NL"/>
        </w:rPr>
        <w:t xml:space="preserve"> Giang </w:t>
      </w:r>
      <w:r w:rsidRPr="001A4D16">
        <w:rPr>
          <w:bCs/>
          <w:sz w:val="28"/>
          <w:szCs w:val="28"/>
          <w:lang w:val="nl-NL"/>
        </w:rPr>
        <w:t>đã</w:t>
      </w:r>
      <w:r>
        <w:rPr>
          <w:bCs/>
          <w:sz w:val="28"/>
          <w:szCs w:val="28"/>
          <w:lang w:val="nl-NL"/>
        </w:rPr>
        <w:t xml:space="preserve"> đư</w:t>
      </w:r>
      <w:r w:rsidRPr="001A4D16">
        <w:rPr>
          <w:bCs/>
          <w:sz w:val="28"/>
          <w:szCs w:val="28"/>
          <w:lang w:val="nl-NL"/>
        </w:rPr>
        <w:t>ợc</w:t>
      </w:r>
      <w:r>
        <w:rPr>
          <w:bCs/>
          <w:sz w:val="28"/>
          <w:szCs w:val="28"/>
          <w:lang w:val="nl-NL"/>
        </w:rPr>
        <w:t xml:space="preserve"> x</w:t>
      </w:r>
      <w:r w:rsidRPr="001A4D16">
        <w:rPr>
          <w:bCs/>
          <w:sz w:val="28"/>
          <w:szCs w:val="28"/>
          <w:lang w:val="nl-NL"/>
        </w:rPr>
        <w:t>â</w:t>
      </w:r>
      <w:r>
        <w:rPr>
          <w:bCs/>
          <w:sz w:val="28"/>
          <w:szCs w:val="28"/>
          <w:lang w:val="nl-NL"/>
        </w:rPr>
        <w:t>y d</w:t>
      </w:r>
      <w:r w:rsidRPr="001A4D16">
        <w:rPr>
          <w:bCs/>
          <w:sz w:val="28"/>
          <w:szCs w:val="28"/>
          <w:lang w:val="nl-NL"/>
        </w:rPr>
        <w:t>ựng</w:t>
      </w:r>
      <w:r>
        <w:rPr>
          <w:bCs/>
          <w:sz w:val="28"/>
          <w:szCs w:val="28"/>
          <w:lang w:val="nl-NL"/>
        </w:rPr>
        <w:t>, ho</w:t>
      </w:r>
      <w:r w:rsidRPr="001A4D16">
        <w:rPr>
          <w:bCs/>
          <w:sz w:val="28"/>
          <w:szCs w:val="28"/>
          <w:lang w:val="nl-NL"/>
        </w:rPr>
        <w:t>àn</w:t>
      </w:r>
      <w:r>
        <w:rPr>
          <w:bCs/>
          <w:sz w:val="28"/>
          <w:szCs w:val="28"/>
          <w:lang w:val="nl-NL"/>
        </w:rPr>
        <w:t xml:space="preserve"> thi</w:t>
      </w:r>
      <w:r w:rsidRPr="001A4D16">
        <w:rPr>
          <w:bCs/>
          <w:sz w:val="28"/>
          <w:szCs w:val="28"/>
          <w:lang w:val="nl-NL"/>
        </w:rPr>
        <w:t>ện</w:t>
      </w:r>
      <w:r>
        <w:rPr>
          <w:bCs/>
          <w:sz w:val="28"/>
          <w:szCs w:val="28"/>
          <w:lang w:val="nl-NL"/>
        </w:rPr>
        <w:t xml:space="preserve"> b</w:t>
      </w:r>
      <w:r w:rsidRPr="001A4D16">
        <w:rPr>
          <w:bCs/>
          <w:sz w:val="28"/>
          <w:szCs w:val="28"/>
          <w:lang w:val="nl-NL"/>
        </w:rPr>
        <w:t>ả</w:t>
      </w:r>
      <w:r>
        <w:rPr>
          <w:bCs/>
          <w:sz w:val="28"/>
          <w:szCs w:val="28"/>
          <w:lang w:val="nl-NL"/>
        </w:rPr>
        <w:t xml:space="preserve">o </w:t>
      </w:r>
      <w:r w:rsidRPr="001A4D16">
        <w:rPr>
          <w:bCs/>
          <w:sz w:val="28"/>
          <w:szCs w:val="28"/>
          <w:lang w:val="nl-NL"/>
        </w:rPr>
        <w:t>đả</w:t>
      </w:r>
      <w:r>
        <w:rPr>
          <w:bCs/>
          <w:sz w:val="28"/>
          <w:szCs w:val="28"/>
          <w:lang w:val="nl-NL"/>
        </w:rPr>
        <w:t xml:space="preserve">m </w:t>
      </w:r>
      <w:r w:rsidRPr="001A4D16">
        <w:rPr>
          <w:bCs/>
          <w:sz w:val="28"/>
          <w:szCs w:val="28"/>
          <w:lang w:val="nl-NL"/>
        </w:rPr>
        <w:t>đúng</w:t>
      </w:r>
      <w:r>
        <w:rPr>
          <w:bCs/>
          <w:sz w:val="28"/>
          <w:szCs w:val="28"/>
          <w:lang w:val="nl-NL"/>
        </w:rPr>
        <w:t xml:space="preserve"> theo quy </w:t>
      </w:r>
      <w:r w:rsidRPr="001A4D16">
        <w:rPr>
          <w:bCs/>
          <w:sz w:val="28"/>
          <w:szCs w:val="28"/>
          <w:lang w:val="nl-NL"/>
        </w:rPr>
        <w:t>định</w:t>
      </w:r>
      <w:r>
        <w:rPr>
          <w:bCs/>
          <w:sz w:val="28"/>
          <w:szCs w:val="28"/>
          <w:lang w:val="nl-NL"/>
        </w:rPr>
        <w:t>, x</w:t>
      </w:r>
      <w:r w:rsidRPr="001A4D16">
        <w:rPr>
          <w:bCs/>
          <w:sz w:val="28"/>
          <w:szCs w:val="28"/>
          <w:lang w:val="nl-NL"/>
        </w:rPr>
        <w:t>ác</w:t>
      </w:r>
      <w:r>
        <w:rPr>
          <w:bCs/>
          <w:sz w:val="28"/>
          <w:szCs w:val="28"/>
          <w:lang w:val="nl-NL"/>
        </w:rPr>
        <w:t xml:space="preserve"> </w:t>
      </w:r>
      <w:r w:rsidRPr="001A4D16">
        <w:rPr>
          <w:bCs/>
          <w:sz w:val="28"/>
          <w:szCs w:val="28"/>
          <w:lang w:val="nl-NL"/>
        </w:rPr>
        <w:t>định</w:t>
      </w:r>
      <w:r>
        <w:rPr>
          <w:bCs/>
          <w:sz w:val="28"/>
          <w:szCs w:val="28"/>
          <w:lang w:val="nl-NL"/>
        </w:rPr>
        <w:t xml:space="preserve"> r</w:t>
      </w:r>
      <w:r w:rsidRPr="001A4D16">
        <w:rPr>
          <w:bCs/>
          <w:sz w:val="28"/>
          <w:szCs w:val="28"/>
          <w:lang w:val="nl-NL"/>
        </w:rPr>
        <w:t>õ</w:t>
      </w:r>
      <w:r>
        <w:rPr>
          <w:bCs/>
          <w:sz w:val="28"/>
          <w:szCs w:val="28"/>
          <w:lang w:val="nl-NL"/>
        </w:rPr>
        <w:t xml:space="preserve"> c</w:t>
      </w:r>
      <w:r w:rsidRPr="001A4D16">
        <w:rPr>
          <w:bCs/>
          <w:sz w:val="28"/>
          <w:szCs w:val="28"/>
          <w:lang w:val="nl-NL"/>
        </w:rPr>
        <w:t>ác</w:t>
      </w:r>
      <w:r>
        <w:rPr>
          <w:bCs/>
          <w:sz w:val="28"/>
          <w:szCs w:val="28"/>
          <w:lang w:val="nl-NL"/>
        </w:rPr>
        <w:t xml:space="preserve"> ph</w:t>
      </w:r>
      <w:r w:rsidRPr="001A4D16">
        <w:rPr>
          <w:bCs/>
          <w:sz w:val="28"/>
          <w:szCs w:val="28"/>
          <w:lang w:val="nl-NL"/>
        </w:rPr>
        <w:t>ươn</w:t>
      </w:r>
      <w:r>
        <w:rPr>
          <w:bCs/>
          <w:sz w:val="28"/>
          <w:szCs w:val="28"/>
          <w:lang w:val="nl-NL"/>
        </w:rPr>
        <w:t xml:space="preserve">g </w:t>
      </w:r>
      <w:r w:rsidRPr="001A4D16">
        <w:rPr>
          <w:bCs/>
          <w:sz w:val="28"/>
          <w:szCs w:val="28"/>
          <w:lang w:val="nl-NL"/>
        </w:rPr>
        <w:t>á</w:t>
      </w:r>
      <w:r>
        <w:rPr>
          <w:bCs/>
          <w:sz w:val="28"/>
          <w:szCs w:val="28"/>
          <w:lang w:val="nl-NL"/>
        </w:rPr>
        <w:t>n c</w:t>
      </w:r>
      <w:r w:rsidRPr="001A4D16">
        <w:rPr>
          <w:bCs/>
          <w:sz w:val="28"/>
          <w:szCs w:val="28"/>
          <w:lang w:val="nl-NL"/>
        </w:rPr>
        <w:t>ụ</w:t>
      </w:r>
      <w:r>
        <w:rPr>
          <w:bCs/>
          <w:sz w:val="28"/>
          <w:szCs w:val="28"/>
          <w:lang w:val="nl-NL"/>
        </w:rPr>
        <w:t xml:space="preserve"> th</w:t>
      </w:r>
      <w:r w:rsidRPr="001A4D16">
        <w:rPr>
          <w:bCs/>
          <w:sz w:val="28"/>
          <w:szCs w:val="28"/>
          <w:lang w:val="nl-NL"/>
        </w:rPr>
        <w:t>ể</w:t>
      </w:r>
      <w:r>
        <w:rPr>
          <w:bCs/>
          <w:sz w:val="28"/>
          <w:szCs w:val="28"/>
          <w:lang w:val="nl-NL"/>
        </w:rPr>
        <w:t xml:space="preserve"> v</w:t>
      </w:r>
      <w:r w:rsidRPr="001A4D16">
        <w:rPr>
          <w:bCs/>
          <w:sz w:val="28"/>
          <w:szCs w:val="28"/>
          <w:lang w:val="nl-NL"/>
        </w:rPr>
        <w:t>ề</w:t>
      </w:r>
      <w:r>
        <w:rPr>
          <w:bCs/>
          <w:sz w:val="28"/>
          <w:szCs w:val="28"/>
          <w:lang w:val="nl-NL"/>
        </w:rPr>
        <w:t xml:space="preserve"> s</w:t>
      </w:r>
      <w:r w:rsidRPr="001A4D16">
        <w:rPr>
          <w:bCs/>
          <w:sz w:val="28"/>
          <w:szCs w:val="28"/>
          <w:lang w:val="nl-NL"/>
        </w:rPr>
        <w:t>ắp</w:t>
      </w:r>
      <w:r>
        <w:rPr>
          <w:bCs/>
          <w:sz w:val="28"/>
          <w:szCs w:val="28"/>
          <w:lang w:val="nl-NL"/>
        </w:rPr>
        <w:t xml:space="preserve"> x</w:t>
      </w:r>
      <w:r w:rsidRPr="001A4D16">
        <w:rPr>
          <w:bCs/>
          <w:sz w:val="28"/>
          <w:szCs w:val="28"/>
          <w:lang w:val="nl-NL"/>
        </w:rPr>
        <w:t>ếp</w:t>
      </w:r>
      <w:r>
        <w:rPr>
          <w:bCs/>
          <w:sz w:val="28"/>
          <w:szCs w:val="28"/>
          <w:lang w:val="nl-NL"/>
        </w:rPr>
        <w:t xml:space="preserve"> t</w:t>
      </w:r>
      <w:r w:rsidRPr="001A4D16">
        <w:rPr>
          <w:bCs/>
          <w:sz w:val="28"/>
          <w:szCs w:val="28"/>
          <w:lang w:val="nl-NL"/>
        </w:rPr>
        <w:t>ổ</w:t>
      </w:r>
      <w:r>
        <w:rPr>
          <w:bCs/>
          <w:sz w:val="28"/>
          <w:szCs w:val="28"/>
          <w:lang w:val="nl-NL"/>
        </w:rPr>
        <w:t xml:space="preserve"> ch</w:t>
      </w:r>
      <w:r w:rsidRPr="001A4D16">
        <w:rPr>
          <w:bCs/>
          <w:sz w:val="28"/>
          <w:szCs w:val="28"/>
          <w:lang w:val="nl-NL"/>
        </w:rPr>
        <w:t>ức</w:t>
      </w:r>
      <w:r>
        <w:rPr>
          <w:bCs/>
          <w:sz w:val="28"/>
          <w:szCs w:val="28"/>
          <w:lang w:val="nl-NL"/>
        </w:rPr>
        <w:t xml:space="preserve"> b</w:t>
      </w:r>
      <w:r w:rsidRPr="001A4D16">
        <w:rPr>
          <w:bCs/>
          <w:sz w:val="28"/>
          <w:szCs w:val="28"/>
          <w:lang w:val="nl-NL"/>
        </w:rPr>
        <w:t>ộ</w:t>
      </w:r>
      <w:r>
        <w:rPr>
          <w:bCs/>
          <w:sz w:val="28"/>
          <w:szCs w:val="28"/>
          <w:lang w:val="nl-NL"/>
        </w:rPr>
        <w:t xml:space="preserve"> m</w:t>
      </w:r>
      <w:r w:rsidRPr="001A4D16">
        <w:rPr>
          <w:bCs/>
          <w:sz w:val="28"/>
          <w:szCs w:val="28"/>
          <w:lang w:val="nl-NL"/>
        </w:rPr>
        <w:t>á</w:t>
      </w:r>
      <w:r>
        <w:rPr>
          <w:bCs/>
          <w:sz w:val="28"/>
          <w:szCs w:val="28"/>
          <w:lang w:val="nl-NL"/>
        </w:rPr>
        <w:t>y, bi</w:t>
      </w:r>
      <w:r w:rsidRPr="001A4D16">
        <w:rPr>
          <w:bCs/>
          <w:sz w:val="28"/>
          <w:szCs w:val="28"/>
          <w:lang w:val="nl-NL"/>
        </w:rPr>
        <w:t>ê</w:t>
      </w:r>
      <w:r>
        <w:rPr>
          <w:bCs/>
          <w:sz w:val="28"/>
          <w:szCs w:val="28"/>
          <w:lang w:val="nl-NL"/>
        </w:rPr>
        <w:t>n ch</w:t>
      </w:r>
      <w:r w:rsidRPr="001A4D16">
        <w:rPr>
          <w:bCs/>
          <w:sz w:val="28"/>
          <w:szCs w:val="28"/>
          <w:lang w:val="nl-NL"/>
        </w:rPr>
        <w:t>ế</w:t>
      </w:r>
      <w:r>
        <w:rPr>
          <w:bCs/>
          <w:sz w:val="28"/>
          <w:szCs w:val="28"/>
          <w:lang w:val="nl-NL"/>
        </w:rPr>
        <w:t>; s</w:t>
      </w:r>
      <w:r w:rsidRPr="001A4D16">
        <w:rPr>
          <w:bCs/>
          <w:sz w:val="28"/>
          <w:szCs w:val="28"/>
          <w:lang w:val="nl-NL"/>
        </w:rPr>
        <w:t>ắp</w:t>
      </w:r>
      <w:r>
        <w:rPr>
          <w:bCs/>
          <w:sz w:val="28"/>
          <w:szCs w:val="28"/>
          <w:lang w:val="nl-NL"/>
        </w:rPr>
        <w:t xml:space="preserve"> x</w:t>
      </w:r>
      <w:r w:rsidRPr="001A4D16">
        <w:rPr>
          <w:bCs/>
          <w:sz w:val="28"/>
          <w:szCs w:val="28"/>
          <w:lang w:val="nl-NL"/>
        </w:rPr>
        <w:t>ếp</w:t>
      </w:r>
      <w:r>
        <w:rPr>
          <w:bCs/>
          <w:sz w:val="28"/>
          <w:szCs w:val="28"/>
          <w:lang w:val="nl-NL"/>
        </w:rPr>
        <w:t xml:space="preserve"> đ</w:t>
      </w:r>
      <w:r w:rsidRPr="001A4D16">
        <w:rPr>
          <w:bCs/>
          <w:sz w:val="28"/>
          <w:szCs w:val="28"/>
          <w:lang w:val="nl-NL"/>
        </w:rPr>
        <w:t>ội</w:t>
      </w:r>
      <w:r>
        <w:rPr>
          <w:bCs/>
          <w:sz w:val="28"/>
          <w:szCs w:val="28"/>
          <w:lang w:val="nl-NL"/>
        </w:rPr>
        <w:t xml:space="preserve"> ng</w:t>
      </w:r>
      <w:r w:rsidRPr="001A4D16">
        <w:rPr>
          <w:bCs/>
          <w:sz w:val="28"/>
          <w:szCs w:val="28"/>
          <w:lang w:val="nl-NL"/>
        </w:rPr>
        <w:t>ũ</w:t>
      </w:r>
      <w:r>
        <w:rPr>
          <w:bCs/>
          <w:sz w:val="28"/>
          <w:szCs w:val="28"/>
          <w:lang w:val="nl-NL"/>
        </w:rPr>
        <w:t xml:space="preserve"> c</w:t>
      </w:r>
      <w:r w:rsidRPr="001A4D16">
        <w:rPr>
          <w:bCs/>
          <w:sz w:val="28"/>
          <w:szCs w:val="28"/>
          <w:lang w:val="nl-NL"/>
        </w:rPr>
        <w:t>á</w:t>
      </w:r>
      <w:r>
        <w:rPr>
          <w:bCs/>
          <w:sz w:val="28"/>
          <w:szCs w:val="28"/>
          <w:lang w:val="nl-NL"/>
        </w:rPr>
        <w:t>n b</w:t>
      </w:r>
      <w:r w:rsidRPr="001A4D16">
        <w:rPr>
          <w:bCs/>
          <w:sz w:val="28"/>
          <w:szCs w:val="28"/>
          <w:lang w:val="nl-NL"/>
        </w:rPr>
        <w:t>ộ</w:t>
      </w:r>
      <w:r>
        <w:rPr>
          <w:bCs/>
          <w:sz w:val="28"/>
          <w:szCs w:val="28"/>
          <w:lang w:val="nl-NL"/>
        </w:rPr>
        <w:t>, c</w:t>
      </w:r>
      <w:r w:rsidRPr="001A4D16">
        <w:rPr>
          <w:bCs/>
          <w:sz w:val="28"/>
          <w:szCs w:val="28"/>
          <w:lang w:val="nl-NL"/>
        </w:rPr>
        <w:t>ô</w:t>
      </w:r>
      <w:r>
        <w:rPr>
          <w:bCs/>
          <w:sz w:val="28"/>
          <w:szCs w:val="28"/>
          <w:lang w:val="nl-NL"/>
        </w:rPr>
        <w:t>ng ch</w:t>
      </w:r>
      <w:r w:rsidRPr="001A4D16">
        <w:rPr>
          <w:bCs/>
          <w:sz w:val="28"/>
          <w:szCs w:val="28"/>
          <w:lang w:val="nl-NL"/>
        </w:rPr>
        <w:t>ức</w:t>
      </w:r>
      <w:r>
        <w:rPr>
          <w:bCs/>
          <w:sz w:val="28"/>
          <w:szCs w:val="28"/>
          <w:lang w:val="nl-NL"/>
        </w:rPr>
        <w:t>, vi</w:t>
      </w:r>
      <w:r w:rsidRPr="001A4D16">
        <w:rPr>
          <w:bCs/>
          <w:sz w:val="28"/>
          <w:szCs w:val="28"/>
          <w:lang w:val="nl-NL"/>
        </w:rPr>
        <w:t>ê</w:t>
      </w:r>
      <w:r>
        <w:rPr>
          <w:bCs/>
          <w:sz w:val="28"/>
          <w:szCs w:val="28"/>
          <w:lang w:val="nl-NL"/>
        </w:rPr>
        <w:t>n ch</w:t>
      </w:r>
      <w:r w:rsidRPr="001A4D16">
        <w:rPr>
          <w:bCs/>
          <w:sz w:val="28"/>
          <w:szCs w:val="28"/>
          <w:lang w:val="nl-NL"/>
        </w:rPr>
        <w:t>ức</w:t>
      </w:r>
      <w:r>
        <w:rPr>
          <w:bCs/>
          <w:sz w:val="28"/>
          <w:szCs w:val="28"/>
          <w:lang w:val="nl-NL"/>
        </w:rPr>
        <w:t>, ngư</w:t>
      </w:r>
      <w:r w:rsidRPr="001A4D16">
        <w:rPr>
          <w:bCs/>
          <w:sz w:val="28"/>
          <w:szCs w:val="28"/>
          <w:lang w:val="nl-NL"/>
        </w:rPr>
        <w:t>ờ</w:t>
      </w:r>
      <w:r>
        <w:rPr>
          <w:bCs/>
          <w:sz w:val="28"/>
          <w:szCs w:val="28"/>
          <w:lang w:val="nl-NL"/>
        </w:rPr>
        <w:t>i lao đ</w:t>
      </w:r>
      <w:r w:rsidRPr="001A4D16">
        <w:rPr>
          <w:bCs/>
          <w:sz w:val="28"/>
          <w:szCs w:val="28"/>
          <w:lang w:val="nl-NL"/>
        </w:rPr>
        <w:t>ộng</w:t>
      </w:r>
      <w:r>
        <w:rPr>
          <w:bCs/>
          <w:sz w:val="28"/>
          <w:szCs w:val="28"/>
          <w:lang w:val="nl-NL"/>
        </w:rPr>
        <w:t>; b</w:t>
      </w:r>
      <w:r w:rsidRPr="001A4D16">
        <w:rPr>
          <w:bCs/>
          <w:sz w:val="28"/>
          <w:szCs w:val="28"/>
          <w:lang w:val="nl-NL"/>
        </w:rPr>
        <w:t>ố</w:t>
      </w:r>
      <w:r>
        <w:rPr>
          <w:bCs/>
          <w:sz w:val="28"/>
          <w:szCs w:val="28"/>
          <w:lang w:val="nl-NL"/>
        </w:rPr>
        <w:t xml:space="preserve"> tr</w:t>
      </w:r>
      <w:r w:rsidRPr="001A4D16">
        <w:rPr>
          <w:bCs/>
          <w:sz w:val="28"/>
          <w:szCs w:val="28"/>
          <w:lang w:val="nl-NL"/>
        </w:rPr>
        <w:t>í</w:t>
      </w:r>
      <w:r>
        <w:rPr>
          <w:bCs/>
          <w:sz w:val="28"/>
          <w:szCs w:val="28"/>
          <w:lang w:val="nl-NL"/>
        </w:rPr>
        <w:t>, s</w:t>
      </w:r>
      <w:r w:rsidRPr="001A4D16">
        <w:rPr>
          <w:bCs/>
          <w:sz w:val="28"/>
          <w:szCs w:val="28"/>
          <w:lang w:val="nl-NL"/>
        </w:rPr>
        <w:t>ắp</w:t>
      </w:r>
      <w:r>
        <w:rPr>
          <w:bCs/>
          <w:sz w:val="28"/>
          <w:szCs w:val="28"/>
          <w:lang w:val="nl-NL"/>
        </w:rPr>
        <w:t xml:space="preserve"> x</w:t>
      </w:r>
      <w:r w:rsidRPr="001A4D16">
        <w:rPr>
          <w:bCs/>
          <w:sz w:val="28"/>
          <w:szCs w:val="28"/>
          <w:lang w:val="nl-NL"/>
        </w:rPr>
        <w:t>ếp</w:t>
      </w:r>
      <w:r>
        <w:rPr>
          <w:bCs/>
          <w:sz w:val="28"/>
          <w:szCs w:val="28"/>
          <w:lang w:val="nl-NL"/>
        </w:rPr>
        <w:t xml:space="preserve"> tr</w:t>
      </w:r>
      <w:r w:rsidRPr="001A4D16">
        <w:rPr>
          <w:bCs/>
          <w:sz w:val="28"/>
          <w:szCs w:val="28"/>
          <w:lang w:val="nl-NL"/>
        </w:rPr>
        <w:t>ụ</w:t>
      </w:r>
      <w:r>
        <w:rPr>
          <w:bCs/>
          <w:sz w:val="28"/>
          <w:szCs w:val="28"/>
          <w:lang w:val="nl-NL"/>
        </w:rPr>
        <w:t xml:space="preserve"> s</w:t>
      </w:r>
      <w:r w:rsidRPr="001A4D16">
        <w:rPr>
          <w:bCs/>
          <w:sz w:val="28"/>
          <w:szCs w:val="28"/>
          <w:lang w:val="nl-NL"/>
        </w:rPr>
        <w:t>ở</w:t>
      </w:r>
      <w:r>
        <w:rPr>
          <w:bCs/>
          <w:sz w:val="28"/>
          <w:szCs w:val="28"/>
          <w:lang w:val="nl-NL"/>
        </w:rPr>
        <w:t xml:space="preserve"> l</w:t>
      </w:r>
      <w:r w:rsidRPr="001A4D16">
        <w:rPr>
          <w:bCs/>
          <w:sz w:val="28"/>
          <w:szCs w:val="28"/>
          <w:lang w:val="nl-NL"/>
        </w:rPr>
        <w:t>à</w:t>
      </w:r>
      <w:r>
        <w:rPr>
          <w:bCs/>
          <w:sz w:val="28"/>
          <w:szCs w:val="28"/>
          <w:lang w:val="nl-NL"/>
        </w:rPr>
        <w:t>m vi</w:t>
      </w:r>
      <w:r w:rsidRPr="001A4D16">
        <w:rPr>
          <w:bCs/>
          <w:sz w:val="28"/>
          <w:szCs w:val="28"/>
          <w:lang w:val="nl-NL"/>
        </w:rPr>
        <w:t>ệc</w:t>
      </w:r>
      <w:r>
        <w:rPr>
          <w:bCs/>
          <w:sz w:val="28"/>
          <w:szCs w:val="28"/>
          <w:lang w:val="nl-NL"/>
        </w:rPr>
        <w:t xml:space="preserve"> cho c</w:t>
      </w:r>
      <w:r w:rsidRPr="001A4D16">
        <w:rPr>
          <w:bCs/>
          <w:sz w:val="28"/>
          <w:szCs w:val="28"/>
          <w:lang w:val="nl-NL"/>
        </w:rPr>
        <w:t>ác</w:t>
      </w:r>
      <w:r>
        <w:rPr>
          <w:bCs/>
          <w:sz w:val="28"/>
          <w:szCs w:val="28"/>
          <w:lang w:val="nl-NL"/>
        </w:rPr>
        <w:t xml:space="preserve"> c</w:t>
      </w:r>
      <w:r w:rsidRPr="001A4D16">
        <w:rPr>
          <w:bCs/>
          <w:sz w:val="28"/>
          <w:szCs w:val="28"/>
          <w:lang w:val="nl-NL"/>
        </w:rPr>
        <w:t>ơ</w:t>
      </w:r>
      <w:r>
        <w:rPr>
          <w:bCs/>
          <w:sz w:val="28"/>
          <w:szCs w:val="28"/>
          <w:lang w:val="nl-NL"/>
        </w:rPr>
        <w:t xml:space="preserve"> quan, </w:t>
      </w:r>
      <w:r w:rsidRPr="001A4D16">
        <w:rPr>
          <w:bCs/>
          <w:sz w:val="28"/>
          <w:szCs w:val="28"/>
          <w:lang w:val="nl-NL"/>
        </w:rPr>
        <w:t>đơ</w:t>
      </w:r>
      <w:r>
        <w:rPr>
          <w:bCs/>
          <w:sz w:val="28"/>
          <w:szCs w:val="28"/>
          <w:lang w:val="nl-NL"/>
        </w:rPr>
        <w:t>n v</w:t>
      </w:r>
      <w:r w:rsidRPr="001A4D16">
        <w:rPr>
          <w:bCs/>
          <w:sz w:val="28"/>
          <w:szCs w:val="28"/>
          <w:lang w:val="nl-NL"/>
        </w:rPr>
        <w:t>ị</w:t>
      </w:r>
      <w:r>
        <w:rPr>
          <w:bCs/>
          <w:sz w:val="28"/>
          <w:szCs w:val="28"/>
          <w:lang w:val="nl-NL"/>
        </w:rPr>
        <w:t xml:space="preserve"> sau h</w:t>
      </w:r>
      <w:r w:rsidRPr="001A4D16">
        <w:rPr>
          <w:bCs/>
          <w:sz w:val="28"/>
          <w:szCs w:val="28"/>
          <w:lang w:val="nl-NL"/>
        </w:rPr>
        <w:t>ợp</w:t>
      </w:r>
      <w:r>
        <w:rPr>
          <w:bCs/>
          <w:sz w:val="28"/>
          <w:szCs w:val="28"/>
          <w:lang w:val="nl-NL"/>
        </w:rPr>
        <w:t xml:space="preserve"> nh</w:t>
      </w:r>
      <w:r w:rsidRPr="001A4D16">
        <w:rPr>
          <w:bCs/>
          <w:sz w:val="28"/>
          <w:szCs w:val="28"/>
          <w:lang w:val="nl-NL"/>
        </w:rPr>
        <w:t>ất</w:t>
      </w:r>
      <w:r>
        <w:rPr>
          <w:bCs/>
          <w:sz w:val="28"/>
          <w:szCs w:val="28"/>
          <w:lang w:val="nl-NL"/>
        </w:rPr>
        <w:t>; vi</w:t>
      </w:r>
      <w:r w:rsidRPr="001A4D16">
        <w:rPr>
          <w:bCs/>
          <w:sz w:val="28"/>
          <w:szCs w:val="28"/>
          <w:lang w:val="nl-NL"/>
        </w:rPr>
        <w:t>ệc</w:t>
      </w:r>
      <w:r>
        <w:rPr>
          <w:bCs/>
          <w:sz w:val="28"/>
          <w:szCs w:val="28"/>
          <w:lang w:val="nl-NL"/>
        </w:rPr>
        <w:t xml:space="preserve"> th</w:t>
      </w:r>
      <w:r w:rsidRPr="001A4D16">
        <w:rPr>
          <w:bCs/>
          <w:sz w:val="28"/>
          <w:szCs w:val="28"/>
          <w:lang w:val="nl-NL"/>
        </w:rPr>
        <w:t>ực</w:t>
      </w:r>
      <w:r>
        <w:rPr>
          <w:bCs/>
          <w:sz w:val="28"/>
          <w:szCs w:val="28"/>
          <w:lang w:val="nl-NL"/>
        </w:rPr>
        <w:t xml:space="preserve"> hi</w:t>
      </w:r>
      <w:r w:rsidRPr="001A4D16">
        <w:rPr>
          <w:bCs/>
          <w:sz w:val="28"/>
          <w:szCs w:val="28"/>
          <w:lang w:val="nl-NL"/>
        </w:rPr>
        <w:t>ện</w:t>
      </w:r>
      <w:r>
        <w:rPr>
          <w:bCs/>
          <w:sz w:val="28"/>
          <w:szCs w:val="28"/>
          <w:lang w:val="nl-NL"/>
        </w:rPr>
        <w:t xml:space="preserve"> ch</w:t>
      </w:r>
      <w:r w:rsidRPr="001A4D16">
        <w:rPr>
          <w:bCs/>
          <w:sz w:val="28"/>
          <w:szCs w:val="28"/>
          <w:lang w:val="nl-NL"/>
        </w:rPr>
        <w:t>ế</w:t>
      </w:r>
      <w:r>
        <w:rPr>
          <w:bCs/>
          <w:sz w:val="28"/>
          <w:szCs w:val="28"/>
          <w:lang w:val="nl-NL"/>
        </w:rPr>
        <w:t xml:space="preserve"> đ</w:t>
      </w:r>
      <w:r w:rsidRPr="001A4D16">
        <w:rPr>
          <w:bCs/>
          <w:sz w:val="28"/>
          <w:szCs w:val="28"/>
          <w:lang w:val="nl-NL"/>
        </w:rPr>
        <w:t>ộ</w:t>
      </w:r>
      <w:r>
        <w:rPr>
          <w:bCs/>
          <w:sz w:val="28"/>
          <w:szCs w:val="28"/>
          <w:lang w:val="nl-NL"/>
        </w:rPr>
        <w:t>, ch</w:t>
      </w:r>
      <w:r w:rsidRPr="001A4D16">
        <w:rPr>
          <w:bCs/>
          <w:sz w:val="28"/>
          <w:szCs w:val="28"/>
          <w:lang w:val="nl-NL"/>
        </w:rPr>
        <w:t>ín</w:t>
      </w:r>
      <w:r>
        <w:rPr>
          <w:bCs/>
          <w:sz w:val="28"/>
          <w:szCs w:val="28"/>
          <w:lang w:val="nl-NL"/>
        </w:rPr>
        <w:t>h s</w:t>
      </w:r>
      <w:r w:rsidRPr="001A4D16">
        <w:rPr>
          <w:bCs/>
          <w:sz w:val="28"/>
          <w:szCs w:val="28"/>
          <w:lang w:val="nl-NL"/>
        </w:rPr>
        <w:t>ác</w:t>
      </w:r>
      <w:r>
        <w:rPr>
          <w:bCs/>
          <w:sz w:val="28"/>
          <w:szCs w:val="28"/>
          <w:lang w:val="nl-NL"/>
        </w:rPr>
        <w:t>h đ</w:t>
      </w:r>
      <w:r w:rsidRPr="001A4D16">
        <w:rPr>
          <w:bCs/>
          <w:sz w:val="28"/>
          <w:szCs w:val="28"/>
          <w:lang w:val="nl-NL"/>
        </w:rPr>
        <w:t>ối</w:t>
      </w:r>
      <w:r>
        <w:rPr>
          <w:bCs/>
          <w:sz w:val="28"/>
          <w:szCs w:val="28"/>
          <w:lang w:val="nl-NL"/>
        </w:rPr>
        <w:t xml:space="preserve"> v</w:t>
      </w:r>
      <w:r w:rsidRPr="001A4D16">
        <w:rPr>
          <w:bCs/>
          <w:sz w:val="28"/>
          <w:szCs w:val="28"/>
          <w:lang w:val="nl-NL"/>
        </w:rPr>
        <w:t>ới</w:t>
      </w:r>
      <w:r>
        <w:rPr>
          <w:bCs/>
          <w:sz w:val="28"/>
          <w:szCs w:val="28"/>
          <w:lang w:val="nl-NL"/>
        </w:rPr>
        <w:t xml:space="preserve"> c</w:t>
      </w:r>
      <w:r w:rsidRPr="001A4D16">
        <w:rPr>
          <w:bCs/>
          <w:sz w:val="28"/>
          <w:szCs w:val="28"/>
          <w:lang w:val="nl-NL"/>
        </w:rPr>
        <w:t>á</w:t>
      </w:r>
      <w:r>
        <w:rPr>
          <w:bCs/>
          <w:sz w:val="28"/>
          <w:szCs w:val="28"/>
          <w:lang w:val="nl-NL"/>
        </w:rPr>
        <w:t>n b</w:t>
      </w:r>
      <w:r w:rsidRPr="001A4D16">
        <w:rPr>
          <w:bCs/>
          <w:sz w:val="28"/>
          <w:szCs w:val="28"/>
          <w:lang w:val="nl-NL"/>
        </w:rPr>
        <w:t>ộ</w:t>
      </w:r>
      <w:r>
        <w:rPr>
          <w:bCs/>
          <w:sz w:val="28"/>
          <w:szCs w:val="28"/>
          <w:lang w:val="nl-NL"/>
        </w:rPr>
        <w:t>, c</w:t>
      </w:r>
      <w:r w:rsidRPr="001A4D16">
        <w:rPr>
          <w:bCs/>
          <w:sz w:val="28"/>
          <w:szCs w:val="28"/>
          <w:lang w:val="nl-NL"/>
        </w:rPr>
        <w:t>ô</w:t>
      </w:r>
      <w:r>
        <w:rPr>
          <w:bCs/>
          <w:sz w:val="28"/>
          <w:szCs w:val="28"/>
          <w:lang w:val="nl-NL"/>
        </w:rPr>
        <w:t>ng ch</w:t>
      </w:r>
      <w:r w:rsidRPr="001A4D16">
        <w:rPr>
          <w:bCs/>
          <w:sz w:val="28"/>
          <w:szCs w:val="28"/>
          <w:lang w:val="nl-NL"/>
        </w:rPr>
        <w:t>ức</w:t>
      </w:r>
      <w:r>
        <w:rPr>
          <w:bCs/>
          <w:sz w:val="28"/>
          <w:szCs w:val="28"/>
          <w:lang w:val="nl-NL"/>
        </w:rPr>
        <w:t>, vi</w:t>
      </w:r>
      <w:r w:rsidRPr="001A4D16">
        <w:rPr>
          <w:bCs/>
          <w:sz w:val="28"/>
          <w:szCs w:val="28"/>
          <w:lang w:val="nl-NL"/>
        </w:rPr>
        <w:t>ê</w:t>
      </w:r>
      <w:r>
        <w:rPr>
          <w:bCs/>
          <w:sz w:val="28"/>
          <w:szCs w:val="28"/>
          <w:lang w:val="nl-NL"/>
        </w:rPr>
        <w:t>n ch</w:t>
      </w:r>
      <w:r w:rsidRPr="001A4D16">
        <w:rPr>
          <w:bCs/>
          <w:sz w:val="28"/>
          <w:szCs w:val="28"/>
          <w:lang w:val="nl-NL"/>
        </w:rPr>
        <w:t>ức</w:t>
      </w:r>
      <w:r>
        <w:rPr>
          <w:bCs/>
          <w:sz w:val="28"/>
          <w:szCs w:val="28"/>
          <w:lang w:val="nl-NL"/>
        </w:rPr>
        <w:t>, ng</w:t>
      </w:r>
      <w:r w:rsidRPr="001A4D16">
        <w:rPr>
          <w:bCs/>
          <w:sz w:val="28"/>
          <w:szCs w:val="28"/>
          <w:lang w:val="nl-NL"/>
        </w:rPr>
        <w:t>ười</w:t>
      </w:r>
      <w:r>
        <w:rPr>
          <w:bCs/>
          <w:sz w:val="28"/>
          <w:szCs w:val="28"/>
          <w:lang w:val="nl-NL"/>
        </w:rPr>
        <w:t xml:space="preserve"> lao đ</w:t>
      </w:r>
      <w:r w:rsidRPr="001A4D16">
        <w:rPr>
          <w:bCs/>
          <w:sz w:val="28"/>
          <w:szCs w:val="28"/>
          <w:lang w:val="nl-NL"/>
        </w:rPr>
        <w:t>ộng</w:t>
      </w:r>
      <w:r>
        <w:rPr>
          <w:bCs/>
          <w:sz w:val="28"/>
          <w:szCs w:val="28"/>
          <w:lang w:val="nl-NL"/>
        </w:rPr>
        <w:t xml:space="preserve"> v</w:t>
      </w:r>
      <w:r w:rsidRPr="001A4D16">
        <w:rPr>
          <w:bCs/>
          <w:sz w:val="28"/>
          <w:szCs w:val="28"/>
          <w:lang w:val="nl-NL"/>
        </w:rPr>
        <w:t>à</w:t>
      </w:r>
      <w:r>
        <w:rPr>
          <w:bCs/>
          <w:sz w:val="28"/>
          <w:szCs w:val="28"/>
          <w:lang w:val="nl-NL"/>
        </w:rPr>
        <w:t xml:space="preserve"> c</w:t>
      </w:r>
      <w:r w:rsidRPr="001A4D16">
        <w:rPr>
          <w:bCs/>
          <w:sz w:val="28"/>
          <w:szCs w:val="28"/>
          <w:lang w:val="nl-NL"/>
        </w:rPr>
        <w:t>ác</w:t>
      </w:r>
      <w:r>
        <w:rPr>
          <w:bCs/>
          <w:sz w:val="28"/>
          <w:szCs w:val="28"/>
          <w:lang w:val="nl-NL"/>
        </w:rPr>
        <w:t xml:space="preserve"> ph</w:t>
      </w:r>
      <w:r w:rsidRPr="001A4D16">
        <w:rPr>
          <w:bCs/>
          <w:sz w:val="28"/>
          <w:szCs w:val="28"/>
          <w:lang w:val="nl-NL"/>
        </w:rPr>
        <w:t>ươn</w:t>
      </w:r>
      <w:r>
        <w:rPr>
          <w:bCs/>
          <w:sz w:val="28"/>
          <w:szCs w:val="28"/>
          <w:lang w:val="nl-NL"/>
        </w:rPr>
        <w:t xml:space="preserve">g </w:t>
      </w:r>
      <w:r w:rsidRPr="001A4D16">
        <w:rPr>
          <w:bCs/>
          <w:sz w:val="28"/>
          <w:szCs w:val="28"/>
          <w:lang w:val="nl-NL"/>
        </w:rPr>
        <w:t>á</w:t>
      </w:r>
      <w:r>
        <w:rPr>
          <w:bCs/>
          <w:sz w:val="28"/>
          <w:szCs w:val="28"/>
          <w:lang w:val="nl-NL"/>
        </w:rPr>
        <w:t>n kh</w:t>
      </w:r>
      <w:r w:rsidRPr="001A4D16">
        <w:rPr>
          <w:bCs/>
          <w:sz w:val="28"/>
          <w:szCs w:val="28"/>
          <w:lang w:val="nl-NL"/>
        </w:rPr>
        <w:t>ác</w:t>
      </w:r>
      <w:r>
        <w:rPr>
          <w:bCs/>
          <w:sz w:val="28"/>
          <w:szCs w:val="28"/>
          <w:lang w:val="nl-NL"/>
        </w:rPr>
        <w:t xml:space="preserve"> li</w:t>
      </w:r>
      <w:r w:rsidRPr="001A4D16">
        <w:rPr>
          <w:bCs/>
          <w:sz w:val="28"/>
          <w:szCs w:val="28"/>
          <w:lang w:val="nl-NL"/>
        </w:rPr>
        <w:t>ê</w:t>
      </w:r>
      <w:r>
        <w:rPr>
          <w:bCs/>
          <w:sz w:val="28"/>
          <w:szCs w:val="28"/>
          <w:lang w:val="nl-NL"/>
        </w:rPr>
        <w:t>n quan đ</w:t>
      </w:r>
      <w:r w:rsidRPr="001A4D16">
        <w:rPr>
          <w:bCs/>
          <w:sz w:val="28"/>
          <w:szCs w:val="28"/>
          <w:lang w:val="nl-NL"/>
        </w:rPr>
        <w:t>ế</w:t>
      </w:r>
      <w:r>
        <w:rPr>
          <w:bCs/>
          <w:sz w:val="28"/>
          <w:szCs w:val="28"/>
          <w:lang w:val="nl-NL"/>
        </w:rPr>
        <w:t>n gi</w:t>
      </w:r>
      <w:r w:rsidRPr="001A4D16">
        <w:rPr>
          <w:bCs/>
          <w:sz w:val="28"/>
          <w:szCs w:val="28"/>
          <w:lang w:val="nl-NL"/>
        </w:rPr>
        <w:t>ấy</w:t>
      </w:r>
      <w:r>
        <w:rPr>
          <w:bCs/>
          <w:sz w:val="28"/>
          <w:szCs w:val="28"/>
          <w:lang w:val="nl-NL"/>
        </w:rPr>
        <w:t xml:space="preserve"> t</w:t>
      </w:r>
      <w:r w:rsidRPr="001A4D16">
        <w:rPr>
          <w:bCs/>
          <w:sz w:val="28"/>
          <w:szCs w:val="28"/>
          <w:lang w:val="nl-NL"/>
        </w:rPr>
        <w:t>ờ</w:t>
      </w:r>
      <w:r>
        <w:rPr>
          <w:bCs/>
          <w:sz w:val="28"/>
          <w:szCs w:val="28"/>
          <w:lang w:val="nl-NL"/>
        </w:rPr>
        <w:t>, th</w:t>
      </w:r>
      <w:r w:rsidRPr="001A4D16">
        <w:rPr>
          <w:bCs/>
          <w:sz w:val="28"/>
          <w:szCs w:val="28"/>
          <w:lang w:val="nl-NL"/>
        </w:rPr>
        <w:t>ủ</w:t>
      </w:r>
      <w:r>
        <w:rPr>
          <w:bCs/>
          <w:sz w:val="28"/>
          <w:szCs w:val="28"/>
          <w:lang w:val="nl-NL"/>
        </w:rPr>
        <w:t xml:space="preserve"> t</w:t>
      </w:r>
      <w:r w:rsidRPr="001A4D16">
        <w:rPr>
          <w:bCs/>
          <w:sz w:val="28"/>
          <w:szCs w:val="28"/>
          <w:lang w:val="nl-NL"/>
        </w:rPr>
        <w:t>ục</w:t>
      </w:r>
      <w:r>
        <w:rPr>
          <w:bCs/>
          <w:sz w:val="28"/>
          <w:szCs w:val="28"/>
          <w:lang w:val="nl-NL"/>
        </w:rPr>
        <w:t xml:space="preserve"> h</w:t>
      </w:r>
      <w:r w:rsidRPr="001A4D16">
        <w:rPr>
          <w:bCs/>
          <w:sz w:val="28"/>
          <w:szCs w:val="28"/>
          <w:lang w:val="nl-NL"/>
        </w:rPr>
        <w:t>à</w:t>
      </w:r>
      <w:r>
        <w:rPr>
          <w:bCs/>
          <w:sz w:val="28"/>
          <w:szCs w:val="28"/>
          <w:lang w:val="nl-NL"/>
        </w:rPr>
        <w:t>nh ch</w:t>
      </w:r>
      <w:r w:rsidRPr="001A4D16">
        <w:rPr>
          <w:bCs/>
          <w:sz w:val="28"/>
          <w:szCs w:val="28"/>
          <w:lang w:val="nl-NL"/>
        </w:rPr>
        <w:t>ín</w:t>
      </w:r>
      <w:r>
        <w:rPr>
          <w:bCs/>
          <w:sz w:val="28"/>
          <w:szCs w:val="28"/>
          <w:lang w:val="nl-NL"/>
        </w:rPr>
        <w:t>h cho ngư</w:t>
      </w:r>
      <w:r w:rsidRPr="001A4D16">
        <w:rPr>
          <w:bCs/>
          <w:sz w:val="28"/>
          <w:szCs w:val="28"/>
          <w:lang w:val="nl-NL"/>
        </w:rPr>
        <w:t>ờ</w:t>
      </w:r>
      <w:r>
        <w:rPr>
          <w:bCs/>
          <w:sz w:val="28"/>
          <w:szCs w:val="28"/>
          <w:lang w:val="nl-NL"/>
        </w:rPr>
        <w:t>i d</w:t>
      </w:r>
      <w:r w:rsidRPr="001A4D16">
        <w:rPr>
          <w:bCs/>
          <w:sz w:val="28"/>
          <w:szCs w:val="28"/>
          <w:lang w:val="nl-NL"/>
        </w:rPr>
        <w:t>â</w:t>
      </w:r>
      <w:r>
        <w:rPr>
          <w:bCs/>
          <w:sz w:val="28"/>
          <w:szCs w:val="28"/>
          <w:lang w:val="nl-NL"/>
        </w:rPr>
        <w:t>n v</w:t>
      </w:r>
      <w:r w:rsidRPr="001A4D16">
        <w:rPr>
          <w:bCs/>
          <w:sz w:val="28"/>
          <w:szCs w:val="28"/>
          <w:lang w:val="nl-NL"/>
        </w:rPr>
        <w:t>à</w:t>
      </w:r>
      <w:r>
        <w:rPr>
          <w:bCs/>
          <w:sz w:val="28"/>
          <w:szCs w:val="28"/>
          <w:lang w:val="nl-NL"/>
        </w:rPr>
        <w:t xml:space="preserve"> doanh nghi</w:t>
      </w:r>
      <w:r w:rsidRPr="001A4D16">
        <w:rPr>
          <w:bCs/>
          <w:sz w:val="28"/>
          <w:szCs w:val="28"/>
          <w:lang w:val="nl-NL"/>
        </w:rPr>
        <w:t>ệp</w:t>
      </w:r>
      <w:r>
        <w:rPr>
          <w:bCs/>
          <w:sz w:val="28"/>
          <w:szCs w:val="28"/>
          <w:lang w:val="nl-NL"/>
        </w:rPr>
        <w:t>,....</w:t>
      </w:r>
      <w:r w:rsidR="00B46584">
        <w:rPr>
          <w:bCs/>
          <w:sz w:val="28"/>
          <w:szCs w:val="28"/>
          <w:lang w:val="nl-NL"/>
        </w:rPr>
        <w:t>/.</w:t>
      </w:r>
    </w:p>
    <w:p w14:paraId="1F6DB776" w14:textId="6999DC5C" w:rsidR="003C686B" w:rsidRPr="00CC4849" w:rsidRDefault="003C686B" w:rsidP="003C686B">
      <w:pPr>
        <w:spacing w:before="120" w:after="0" w:line="240" w:lineRule="auto"/>
        <w:jc w:val="center"/>
        <w:rPr>
          <w:bCs/>
          <w:sz w:val="28"/>
          <w:szCs w:val="28"/>
          <w:lang w:val="nl-NL"/>
        </w:rPr>
      </w:pPr>
      <w:r>
        <w:rPr>
          <w:bCs/>
          <w:sz w:val="28"/>
          <w:szCs w:val="28"/>
          <w:lang w:val="nl-NL"/>
        </w:rPr>
        <w:t>---------------------------------------</w:t>
      </w:r>
    </w:p>
    <w:sectPr w:rsidR="003C686B" w:rsidRPr="00CC4849" w:rsidSect="00992DE6">
      <w:headerReference w:type="default" r:id="rId8"/>
      <w:pgSz w:w="11907" w:h="16840" w:code="9"/>
      <w:pgMar w:top="1134" w:right="1134" w:bottom="1134" w:left="1701" w:header="51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E8FAE" w14:textId="77777777" w:rsidR="006E7F9D" w:rsidRDefault="006E7F9D" w:rsidP="008C04E8">
      <w:pPr>
        <w:spacing w:after="0" w:line="240" w:lineRule="auto"/>
      </w:pPr>
      <w:r>
        <w:separator/>
      </w:r>
    </w:p>
  </w:endnote>
  <w:endnote w:type="continuationSeparator" w:id="0">
    <w:p w14:paraId="73AB3A3B" w14:textId="77777777" w:rsidR="006E7F9D" w:rsidRDefault="006E7F9D" w:rsidP="008C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F37FB" w14:textId="77777777" w:rsidR="006E7F9D" w:rsidRDefault="006E7F9D" w:rsidP="008C04E8">
      <w:pPr>
        <w:spacing w:after="0" w:line="240" w:lineRule="auto"/>
      </w:pPr>
      <w:r>
        <w:separator/>
      </w:r>
    </w:p>
  </w:footnote>
  <w:footnote w:type="continuationSeparator" w:id="0">
    <w:p w14:paraId="4836790F" w14:textId="77777777" w:rsidR="006E7F9D" w:rsidRDefault="006E7F9D" w:rsidP="008C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886136"/>
      <w:docPartObj>
        <w:docPartGallery w:val="Page Numbers (Top of Page)"/>
        <w:docPartUnique/>
      </w:docPartObj>
    </w:sdtPr>
    <w:sdtEndPr>
      <w:rPr>
        <w:noProof/>
      </w:rPr>
    </w:sdtEndPr>
    <w:sdtContent>
      <w:p w14:paraId="411005D6" w14:textId="3CADC983" w:rsidR="00F445BE" w:rsidRDefault="00F445BE">
        <w:pPr>
          <w:pStyle w:val="Header"/>
          <w:jc w:val="center"/>
        </w:pPr>
        <w:r>
          <w:fldChar w:fldCharType="begin"/>
        </w:r>
        <w:r>
          <w:instrText xml:space="preserve"> PAGE   \* MERGEFORMAT </w:instrText>
        </w:r>
        <w:r>
          <w:fldChar w:fldCharType="separate"/>
        </w:r>
        <w:r w:rsidR="00F16E66">
          <w:rPr>
            <w:noProof/>
          </w:rPr>
          <w:t>2</w:t>
        </w:r>
        <w:r>
          <w:rPr>
            <w:noProof/>
          </w:rPr>
          <w:fldChar w:fldCharType="end"/>
        </w:r>
      </w:p>
    </w:sdtContent>
  </w:sdt>
  <w:p w14:paraId="3B497DA2" w14:textId="77777777" w:rsidR="00F445BE" w:rsidRDefault="00F445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90FD1"/>
    <w:multiLevelType w:val="hybridMultilevel"/>
    <w:tmpl w:val="35A2075A"/>
    <w:lvl w:ilvl="0" w:tplc="3FCE4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032A53"/>
    <w:multiLevelType w:val="hybridMultilevel"/>
    <w:tmpl w:val="FF90F9FC"/>
    <w:lvl w:ilvl="0" w:tplc="780AB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2A"/>
    <w:rsid w:val="0000624D"/>
    <w:rsid w:val="000117F6"/>
    <w:rsid w:val="0001752F"/>
    <w:rsid w:val="00021AC9"/>
    <w:rsid w:val="00025865"/>
    <w:rsid w:val="000279BB"/>
    <w:rsid w:val="000355CD"/>
    <w:rsid w:val="00037753"/>
    <w:rsid w:val="00043CDA"/>
    <w:rsid w:val="000571A4"/>
    <w:rsid w:val="000620B5"/>
    <w:rsid w:val="00074F24"/>
    <w:rsid w:val="00076181"/>
    <w:rsid w:val="00093F01"/>
    <w:rsid w:val="00094C74"/>
    <w:rsid w:val="000A64B8"/>
    <w:rsid w:val="000B16AD"/>
    <w:rsid w:val="000B182B"/>
    <w:rsid w:val="000B3E0D"/>
    <w:rsid w:val="000B7D2E"/>
    <w:rsid w:val="000C2139"/>
    <w:rsid w:val="000C3373"/>
    <w:rsid w:val="000C5D33"/>
    <w:rsid w:val="000C6FE1"/>
    <w:rsid w:val="000D2BB5"/>
    <w:rsid w:val="000E1E6E"/>
    <w:rsid w:val="000E4059"/>
    <w:rsid w:val="000F24EA"/>
    <w:rsid w:val="00114070"/>
    <w:rsid w:val="00115B07"/>
    <w:rsid w:val="00124244"/>
    <w:rsid w:val="00124A7A"/>
    <w:rsid w:val="00136A14"/>
    <w:rsid w:val="00150322"/>
    <w:rsid w:val="00151B8D"/>
    <w:rsid w:val="0015624B"/>
    <w:rsid w:val="00160A10"/>
    <w:rsid w:val="00162C07"/>
    <w:rsid w:val="001717AA"/>
    <w:rsid w:val="00183463"/>
    <w:rsid w:val="00183DC9"/>
    <w:rsid w:val="001901A8"/>
    <w:rsid w:val="001A4D16"/>
    <w:rsid w:val="001B095E"/>
    <w:rsid w:val="001B104F"/>
    <w:rsid w:val="001B202D"/>
    <w:rsid w:val="001B4EBB"/>
    <w:rsid w:val="001D0923"/>
    <w:rsid w:val="001E1103"/>
    <w:rsid w:val="001E488F"/>
    <w:rsid w:val="001E575C"/>
    <w:rsid w:val="00215FF4"/>
    <w:rsid w:val="002202E2"/>
    <w:rsid w:val="00226554"/>
    <w:rsid w:val="00230D36"/>
    <w:rsid w:val="002332C0"/>
    <w:rsid w:val="00233726"/>
    <w:rsid w:val="002565FD"/>
    <w:rsid w:val="00273F6A"/>
    <w:rsid w:val="00296DB3"/>
    <w:rsid w:val="002A3877"/>
    <w:rsid w:val="002C0B2D"/>
    <w:rsid w:val="002C4A30"/>
    <w:rsid w:val="002C637E"/>
    <w:rsid w:val="002F2940"/>
    <w:rsid w:val="00312929"/>
    <w:rsid w:val="00320263"/>
    <w:rsid w:val="00321BFD"/>
    <w:rsid w:val="00322FA9"/>
    <w:rsid w:val="0033015A"/>
    <w:rsid w:val="003308C0"/>
    <w:rsid w:val="00334F56"/>
    <w:rsid w:val="003460F7"/>
    <w:rsid w:val="00346B79"/>
    <w:rsid w:val="00355BFC"/>
    <w:rsid w:val="00360248"/>
    <w:rsid w:val="00366CFF"/>
    <w:rsid w:val="003746E0"/>
    <w:rsid w:val="00376CAB"/>
    <w:rsid w:val="003816D7"/>
    <w:rsid w:val="003825A2"/>
    <w:rsid w:val="00385A35"/>
    <w:rsid w:val="00386ED1"/>
    <w:rsid w:val="003A2912"/>
    <w:rsid w:val="003A67DF"/>
    <w:rsid w:val="003A6AD5"/>
    <w:rsid w:val="003A7F5C"/>
    <w:rsid w:val="003B79EC"/>
    <w:rsid w:val="003C686B"/>
    <w:rsid w:val="003C6B10"/>
    <w:rsid w:val="003D0156"/>
    <w:rsid w:val="003E694A"/>
    <w:rsid w:val="003F0BCC"/>
    <w:rsid w:val="00401ACE"/>
    <w:rsid w:val="004078EE"/>
    <w:rsid w:val="004314FD"/>
    <w:rsid w:val="004360BF"/>
    <w:rsid w:val="004379E0"/>
    <w:rsid w:val="0045258A"/>
    <w:rsid w:val="004530E9"/>
    <w:rsid w:val="00463ABA"/>
    <w:rsid w:val="004729BA"/>
    <w:rsid w:val="004824DA"/>
    <w:rsid w:val="00497A3E"/>
    <w:rsid w:val="004A2F45"/>
    <w:rsid w:val="004B013E"/>
    <w:rsid w:val="004D2C75"/>
    <w:rsid w:val="004E360F"/>
    <w:rsid w:val="004F10D5"/>
    <w:rsid w:val="00501C2A"/>
    <w:rsid w:val="00514104"/>
    <w:rsid w:val="0051653E"/>
    <w:rsid w:val="005175F2"/>
    <w:rsid w:val="00520960"/>
    <w:rsid w:val="00522D08"/>
    <w:rsid w:val="00525650"/>
    <w:rsid w:val="00526E39"/>
    <w:rsid w:val="005302FF"/>
    <w:rsid w:val="00536D42"/>
    <w:rsid w:val="005370AF"/>
    <w:rsid w:val="0054644F"/>
    <w:rsid w:val="00552667"/>
    <w:rsid w:val="00561052"/>
    <w:rsid w:val="00576A34"/>
    <w:rsid w:val="00582BA8"/>
    <w:rsid w:val="00582F13"/>
    <w:rsid w:val="00585E0A"/>
    <w:rsid w:val="00590146"/>
    <w:rsid w:val="00590152"/>
    <w:rsid w:val="005911EF"/>
    <w:rsid w:val="00597A9F"/>
    <w:rsid w:val="005A562F"/>
    <w:rsid w:val="005A7677"/>
    <w:rsid w:val="005B1771"/>
    <w:rsid w:val="005B1CF5"/>
    <w:rsid w:val="005B7400"/>
    <w:rsid w:val="005B7B20"/>
    <w:rsid w:val="005C2D30"/>
    <w:rsid w:val="005D256C"/>
    <w:rsid w:val="005F00B5"/>
    <w:rsid w:val="005F28D3"/>
    <w:rsid w:val="00607BF8"/>
    <w:rsid w:val="006116B9"/>
    <w:rsid w:val="00635DF2"/>
    <w:rsid w:val="00641B9E"/>
    <w:rsid w:val="00644D50"/>
    <w:rsid w:val="006506D2"/>
    <w:rsid w:val="006610AF"/>
    <w:rsid w:val="0066160C"/>
    <w:rsid w:val="00666183"/>
    <w:rsid w:val="00694FA0"/>
    <w:rsid w:val="00696238"/>
    <w:rsid w:val="006A06B2"/>
    <w:rsid w:val="006A1B15"/>
    <w:rsid w:val="006A486A"/>
    <w:rsid w:val="006B2E07"/>
    <w:rsid w:val="006B3C53"/>
    <w:rsid w:val="006C1364"/>
    <w:rsid w:val="006D3ADA"/>
    <w:rsid w:val="006D5ADA"/>
    <w:rsid w:val="006E7F9D"/>
    <w:rsid w:val="0070233D"/>
    <w:rsid w:val="00712A42"/>
    <w:rsid w:val="00716047"/>
    <w:rsid w:val="007245A6"/>
    <w:rsid w:val="0072583E"/>
    <w:rsid w:val="007262CD"/>
    <w:rsid w:val="007322EE"/>
    <w:rsid w:val="00732429"/>
    <w:rsid w:val="007357F6"/>
    <w:rsid w:val="007426B3"/>
    <w:rsid w:val="00751CB8"/>
    <w:rsid w:val="0075381A"/>
    <w:rsid w:val="007702F9"/>
    <w:rsid w:val="0077126E"/>
    <w:rsid w:val="00773157"/>
    <w:rsid w:val="00776741"/>
    <w:rsid w:val="007802D0"/>
    <w:rsid w:val="007813F6"/>
    <w:rsid w:val="007845D2"/>
    <w:rsid w:val="0078562B"/>
    <w:rsid w:val="007919F0"/>
    <w:rsid w:val="007A5C65"/>
    <w:rsid w:val="007A5D4B"/>
    <w:rsid w:val="007D288F"/>
    <w:rsid w:val="007D29B9"/>
    <w:rsid w:val="007D6FE8"/>
    <w:rsid w:val="007E0A83"/>
    <w:rsid w:val="007E4DD9"/>
    <w:rsid w:val="007F4272"/>
    <w:rsid w:val="00810B84"/>
    <w:rsid w:val="008126EC"/>
    <w:rsid w:val="00816481"/>
    <w:rsid w:val="0082276C"/>
    <w:rsid w:val="00823381"/>
    <w:rsid w:val="00827302"/>
    <w:rsid w:val="00830848"/>
    <w:rsid w:val="0085732A"/>
    <w:rsid w:val="008829E5"/>
    <w:rsid w:val="008841A8"/>
    <w:rsid w:val="00896733"/>
    <w:rsid w:val="008A2B61"/>
    <w:rsid w:val="008B125F"/>
    <w:rsid w:val="008B640D"/>
    <w:rsid w:val="008C04E8"/>
    <w:rsid w:val="008C55E1"/>
    <w:rsid w:val="008C7A56"/>
    <w:rsid w:val="008E43D4"/>
    <w:rsid w:val="008E55B0"/>
    <w:rsid w:val="008F10B9"/>
    <w:rsid w:val="00900079"/>
    <w:rsid w:val="00902D99"/>
    <w:rsid w:val="00903A2B"/>
    <w:rsid w:val="0090637E"/>
    <w:rsid w:val="009115AF"/>
    <w:rsid w:val="009279A5"/>
    <w:rsid w:val="0093543A"/>
    <w:rsid w:val="00943875"/>
    <w:rsid w:val="00945BA8"/>
    <w:rsid w:val="009511BF"/>
    <w:rsid w:val="0095325F"/>
    <w:rsid w:val="00983003"/>
    <w:rsid w:val="00985A7F"/>
    <w:rsid w:val="00986FB0"/>
    <w:rsid w:val="00992DE6"/>
    <w:rsid w:val="009C1B29"/>
    <w:rsid w:val="009C77CD"/>
    <w:rsid w:val="009D5E48"/>
    <w:rsid w:val="009F7184"/>
    <w:rsid w:val="00A019F7"/>
    <w:rsid w:val="00A071DD"/>
    <w:rsid w:val="00A141AC"/>
    <w:rsid w:val="00A15AAE"/>
    <w:rsid w:val="00A35014"/>
    <w:rsid w:val="00A36F48"/>
    <w:rsid w:val="00A46771"/>
    <w:rsid w:val="00A46E4B"/>
    <w:rsid w:val="00A47B35"/>
    <w:rsid w:val="00A601B7"/>
    <w:rsid w:val="00A64572"/>
    <w:rsid w:val="00A645D1"/>
    <w:rsid w:val="00A76F0F"/>
    <w:rsid w:val="00A861C7"/>
    <w:rsid w:val="00A86F4C"/>
    <w:rsid w:val="00A902F2"/>
    <w:rsid w:val="00A9465A"/>
    <w:rsid w:val="00AA0C0A"/>
    <w:rsid w:val="00AA4E6E"/>
    <w:rsid w:val="00AA7BDB"/>
    <w:rsid w:val="00AB1BF6"/>
    <w:rsid w:val="00AB7577"/>
    <w:rsid w:val="00AC14F1"/>
    <w:rsid w:val="00AC3280"/>
    <w:rsid w:val="00AC35AD"/>
    <w:rsid w:val="00AE0BFE"/>
    <w:rsid w:val="00AE41BB"/>
    <w:rsid w:val="00AE5F0A"/>
    <w:rsid w:val="00AF12E0"/>
    <w:rsid w:val="00B10BB5"/>
    <w:rsid w:val="00B12B37"/>
    <w:rsid w:val="00B2253A"/>
    <w:rsid w:val="00B463D0"/>
    <w:rsid w:val="00B46584"/>
    <w:rsid w:val="00B508C5"/>
    <w:rsid w:val="00B54C61"/>
    <w:rsid w:val="00B83CA6"/>
    <w:rsid w:val="00B9410A"/>
    <w:rsid w:val="00BB7FCE"/>
    <w:rsid w:val="00BC11D3"/>
    <w:rsid w:val="00BC1474"/>
    <w:rsid w:val="00BE1AD0"/>
    <w:rsid w:val="00C04F6E"/>
    <w:rsid w:val="00C1019B"/>
    <w:rsid w:val="00C11770"/>
    <w:rsid w:val="00C169EB"/>
    <w:rsid w:val="00C323F3"/>
    <w:rsid w:val="00C3246F"/>
    <w:rsid w:val="00C34872"/>
    <w:rsid w:val="00C6602C"/>
    <w:rsid w:val="00C73676"/>
    <w:rsid w:val="00C82F72"/>
    <w:rsid w:val="00C8466C"/>
    <w:rsid w:val="00CA4A4E"/>
    <w:rsid w:val="00CB7083"/>
    <w:rsid w:val="00CC0037"/>
    <w:rsid w:val="00CC4849"/>
    <w:rsid w:val="00CC5B83"/>
    <w:rsid w:val="00CD210F"/>
    <w:rsid w:val="00CD50AF"/>
    <w:rsid w:val="00CE00A3"/>
    <w:rsid w:val="00CE7572"/>
    <w:rsid w:val="00CF4DE4"/>
    <w:rsid w:val="00D07A40"/>
    <w:rsid w:val="00D130C2"/>
    <w:rsid w:val="00D1506F"/>
    <w:rsid w:val="00D31F22"/>
    <w:rsid w:val="00D37F32"/>
    <w:rsid w:val="00D43074"/>
    <w:rsid w:val="00D51E8C"/>
    <w:rsid w:val="00D52881"/>
    <w:rsid w:val="00D5361E"/>
    <w:rsid w:val="00D74BA3"/>
    <w:rsid w:val="00D9059F"/>
    <w:rsid w:val="00DA2426"/>
    <w:rsid w:val="00DA486C"/>
    <w:rsid w:val="00DA6CF3"/>
    <w:rsid w:val="00DB5FF6"/>
    <w:rsid w:val="00DC4EB1"/>
    <w:rsid w:val="00DC7FBF"/>
    <w:rsid w:val="00DE6111"/>
    <w:rsid w:val="00DF433E"/>
    <w:rsid w:val="00DF6AA8"/>
    <w:rsid w:val="00E0242E"/>
    <w:rsid w:val="00E15969"/>
    <w:rsid w:val="00E17ED3"/>
    <w:rsid w:val="00E2795B"/>
    <w:rsid w:val="00E31ED4"/>
    <w:rsid w:val="00E366F6"/>
    <w:rsid w:val="00E456A1"/>
    <w:rsid w:val="00E61633"/>
    <w:rsid w:val="00E629C3"/>
    <w:rsid w:val="00E70D69"/>
    <w:rsid w:val="00E75B3B"/>
    <w:rsid w:val="00E876FE"/>
    <w:rsid w:val="00E90053"/>
    <w:rsid w:val="00E95860"/>
    <w:rsid w:val="00E95AF9"/>
    <w:rsid w:val="00EA4079"/>
    <w:rsid w:val="00EA6782"/>
    <w:rsid w:val="00EB0E94"/>
    <w:rsid w:val="00EB17C4"/>
    <w:rsid w:val="00ED64AA"/>
    <w:rsid w:val="00EE4FC7"/>
    <w:rsid w:val="00F04BE1"/>
    <w:rsid w:val="00F16E66"/>
    <w:rsid w:val="00F26B33"/>
    <w:rsid w:val="00F27116"/>
    <w:rsid w:val="00F445BE"/>
    <w:rsid w:val="00F509E9"/>
    <w:rsid w:val="00F539DC"/>
    <w:rsid w:val="00F5674F"/>
    <w:rsid w:val="00F65963"/>
    <w:rsid w:val="00F71BEA"/>
    <w:rsid w:val="00F878B4"/>
    <w:rsid w:val="00F90332"/>
    <w:rsid w:val="00F91154"/>
    <w:rsid w:val="00F97007"/>
    <w:rsid w:val="00FA5EF0"/>
    <w:rsid w:val="00FB3D74"/>
    <w:rsid w:val="00FD7E4F"/>
    <w:rsid w:val="00FE05F6"/>
    <w:rsid w:val="00FE3B67"/>
    <w:rsid w:val="00FF566F"/>
    <w:rsid w:val="00FF5C39"/>
    <w:rsid w:val="00FF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105E"/>
  <w15:chartTrackingRefBased/>
  <w15:docId w15:val="{97EC830F-6D60-4779-B829-FA613DA9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7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32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3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5732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73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732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732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732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3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3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32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32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732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73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73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73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73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7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32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3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732A"/>
    <w:pPr>
      <w:spacing w:before="160"/>
      <w:jc w:val="center"/>
    </w:pPr>
    <w:rPr>
      <w:i/>
      <w:iCs/>
      <w:color w:val="404040" w:themeColor="text1" w:themeTint="BF"/>
    </w:rPr>
  </w:style>
  <w:style w:type="character" w:customStyle="1" w:styleId="QuoteChar">
    <w:name w:val="Quote Char"/>
    <w:basedOn w:val="DefaultParagraphFont"/>
    <w:link w:val="Quote"/>
    <w:uiPriority w:val="29"/>
    <w:rsid w:val="0085732A"/>
    <w:rPr>
      <w:i/>
      <w:iCs/>
      <w:color w:val="404040" w:themeColor="text1" w:themeTint="BF"/>
    </w:rPr>
  </w:style>
  <w:style w:type="paragraph" w:styleId="ListParagraph">
    <w:name w:val="List Paragraph"/>
    <w:basedOn w:val="Normal"/>
    <w:uiPriority w:val="34"/>
    <w:qFormat/>
    <w:rsid w:val="0085732A"/>
    <w:pPr>
      <w:ind w:left="720"/>
      <w:contextualSpacing/>
    </w:pPr>
  </w:style>
  <w:style w:type="character" w:styleId="IntenseEmphasis">
    <w:name w:val="Intense Emphasis"/>
    <w:basedOn w:val="DefaultParagraphFont"/>
    <w:uiPriority w:val="21"/>
    <w:qFormat/>
    <w:rsid w:val="0085732A"/>
    <w:rPr>
      <w:i/>
      <w:iCs/>
      <w:color w:val="0F4761" w:themeColor="accent1" w:themeShade="BF"/>
    </w:rPr>
  </w:style>
  <w:style w:type="paragraph" w:styleId="IntenseQuote">
    <w:name w:val="Intense Quote"/>
    <w:basedOn w:val="Normal"/>
    <w:next w:val="Normal"/>
    <w:link w:val="IntenseQuoteChar"/>
    <w:uiPriority w:val="30"/>
    <w:qFormat/>
    <w:rsid w:val="00857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32A"/>
    <w:rPr>
      <w:i/>
      <w:iCs/>
      <w:color w:val="0F4761" w:themeColor="accent1" w:themeShade="BF"/>
    </w:rPr>
  </w:style>
  <w:style w:type="character" w:styleId="IntenseReference">
    <w:name w:val="Intense Reference"/>
    <w:basedOn w:val="DefaultParagraphFont"/>
    <w:uiPriority w:val="32"/>
    <w:qFormat/>
    <w:rsid w:val="0085732A"/>
    <w:rPr>
      <w:b/>
      <w:bCs/>
      <w:smallCaps/>
      <w:color w:val="0F4761" w:themeColor="accent1" w:themeShade="BF"/>
      <w:spacing w:val="5"/>
    </w:rPr>
  </w:style>
  <w:style w:type="table" w:styleId="TableGrid">
    <w:name w:val="Table Grid"/>
    <w:basedOn w:val="TableNormal"/>
    <w:uiPriority w:val="39"/>
    <w:rsid w:val="0043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C04E8"/>
    <w:pPr>
      <w:spacing w:after="0" w:line="240" w:lineRule="auto"/>
    </w:pPr>
    <w:rPr>
      <w:sz w:val="20"/>
      <w:szCs w:val="20"/>
    </w:rPr>
  </w:style>
  <w:style w:type="character" w:customStyle="1" w:styleId="FootnoteTextChar">
    <w:name w:val="Footnote Text Char"/>
    <w:basedOn w:val="DefaultParagraphFont"/>
    <w:link w:val="FootnoteText"/>
    <w:uiPriority w:val="99"/>
    <w:rsid w:val="008C04E8"/>
    <w:rPr>
      <w:sz w:val="20"/>
      <w:szCs w:val="20"/>
    </w:rPr>
  </w:style>
  <w:style w:type="character" w:styleId="FootnoteReference">
    <w:name w:val="footnote reference"/>
    <w:basedOn w:val="DefaultParagraphFont"/>
    <w:uiPriority w:val="99"/>
    <w:semiHidden/>
    <w:unhideWhenUsed/>
    <w:rsid w:val="008C04E8"/>
    <w:rPr>
      <w:vertAlign w:val="superscript"/>
    </w:rPr>
  </w:style>
  <w:style w:type="paragraph" w:styleId="Header">
    <w:name w:val="header"/>
    <w:basedOn w:val="Normal"/>
    <w:link w:val="HeaderChar"/>
    <w:uiPriority w:val="99"/>
    <w:unhideWhenUsed/>
    <w:rsid w:val="00F44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BE"/>
  </w:style>
  <w:style w:type="paragraph" w:styleId="Footer">
    <w:name w:val="footer"/>
    <w:basedOn w:val="Normal"/>
    <w:link w:val="FooterChar"/>
    <w:uiPriority w:val="99"/>
    <w:unhideWhenUsed/>
    <w:rsid w:val="00F44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662403">
      <w:bodyDiv w:val="1"/>
      <w:marLeft w:val="0"/>
      <w:marRight w:val="0"/>
      <w:marTop w:val="0"/>
      <w:marBottom w:val="0"/>
      <w:divBdr>
        <w:top w:val="none" w:sz="0" w:space="0" w:color="auto"/>
        <w:left w:val="none" w:sz="0" w:space="0" w:color="auto"/>
        <w:bottom w:val="none" w:sz="0" w:space="0" w:color="auto"/>
        <w:right w:val="none" w:sz="0" w:space="0" w:color="auto"/>
      </w:divBdr>
    </w:div>
    <w:div w:id="17139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FBBE-0ED8-44B7-A0D5-AF0A4564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ubndtq.tinh@gmail.com</cp:lastModifiedBy>
  <cp:revision>6</cp:revision>
  <cp:lastPrinted>2025-04-13T04:17:00Z</cp:lastPrinted>
  <dcterms:created xsi:type="dcterms:W3CDTF">2025-04-17T12:55:00Z</dcterms:created>
  <dcterms:modified xsi:type="dcterms:W3CDTF">2025-04-17T13:33:00Z</dcterms:modified>
</cp:coreProperties>
</file>